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05550" cy="9153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21" cy="915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301087" cy="8705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54" cy="8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455317" cy="9163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11" cy="917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753100" cy="839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BE3" w:rsidRDefault="00015BE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BE3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16B8999B" wp14:editId="42E999CA">
            <wp:extent cx="5857875" cy="6553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5A0" w:rsidRDefault="00BA55A0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7D25A3" w:rsidRPr="00AD596F" w:rsidRDefault="007D25A3" w:rsidP="007D25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A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УДК</w:t>
      </w:r>
      <w:r w:rsidR="00AD596F" w:rsidRPr="00AD5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550.424.4; 631.416.9</w:t>
      </w:r>
    </w:p>
    <w:p w:rsidR="004C55CD" w:rsidRPr="000A7E3E" w:rsidRDefault="004C55CD" w:rsidP="006B3A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4C55C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Содержание и распределение подвижных форм </w:t>
      </w:r>
      <w:r w:rsidR="00AD596F" w:rsidRPr="00AD59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</w:t>
      </w:r>
      <w:r w:rsidRPr="00AD59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Cr, Cu, Fe, Mn, Ni, Pb, Sr, Ti, Zn и Zr</w:t>
      </w:r>
      <w:r w:rsidRPr="004C55C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в почвах южнотаежной катены на двучленных отложениях Центрально-Лесного заповедника</w:t>
      </w:r>
    </w:p>
    <w:p w:rsidR="007D25A3" w:rsidRPr="00AB4AE7" w:rsidRDefault="007D25A3" w:rsidP="006B3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Н.С. Касимов, </w:t>
      </w:r>
      <w:r w:rsidR="00064911" w:rsidRPr="00AB4AE7">
        <w:rPr>
          <w:rFonts w:ascii="Times New Roman" w:hAnsi="Times New Roman" w:cs="Times New Roman"/>
          <w:sz w:val="24"/>
          <w:szCs w:val="24"/>
          <w:shd w:val="clear" w:color="auto" w:fill="FFFFFF"/>
        </w:rPr>
        <w:t>И.Н. Семенков, Е.Н. Асеева, О.А. Самонова, П.Р. Енчилик, А.Д. Иовчева, Е.В. Терская</w:t>
      </w:r>
    </w:p>
    <w:p w:rsidR="00064911" w:rsidRPr="00AB4AE7" w:rsidRDefault="00064911" w:rsidP="00064911">
      <w:pPr>
        <w:pStyle w:val="msonormalmailrucssattributepostfix"/>
        <w:spacing w:before="0" w:beforeAutospacing="0" w:after="0" w:afterAutospacing="0"/>
        <w:jc w:val="center"/>
      </w:pPr>
      <w:r w:rsidRPr="00AB4AE7">
        <w:t>Географический факультет, Московский государственный университет имени М.В.Ломоносова, Москва,</w:t>
      </w:r>
    </w:p>
    <w:p w:rsidR="00064911" w:rsidRPr="00753B16" w:rsidRDefault="00064911" w:rsidP="00064911">
      <w:pPr>
        <w:pStyle w:val="msonormalmailrucssattributepostfix"/>
        <w:spacing w:before="0" w:beforeAutospacing="0" w:after="0" w:afterAutospacing="0"/>
        <w:jc w:val="center"/>
      </w:pPr>
      <w:r w:rsidRPr="00AB4AE7">
        <w:rPr>
          <w:lang w:val="en-US"/>
        </w:rPr>
        <w:t>polimail</w:t>
      </w:r>
      <w:r w:rsidRPr="00753B16">
        <w:t>@</w:t>
      </w:r>
      <w:r w:rsidRPr="00AB4AE7">
        <w:rPr>
          <w:lang w:val="en-US"/>
        </w:rPr>
        <w:t>inbox</w:t>
      </w:r>
      <w:r w:rsidRPr="00753B16">
        <w:t>.</w:t>
      </w:r>
      <w:r w:rsidRPr="00AB4AE7">
        <w:rPr>
          <w:lang w:val="en-US"/>
        </w:rPr>
        <w:t>ru</w:t>
      </w:r>
    </w:p>
    <w:p w:rsidR="007133AB" w:rsidRPr="00A3083F" w:rsidRDefault="0037230E" w:rsidP="00713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3F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>В 2017 и 2018 гг. изучено р</w:t>
      </w:r>
      <w:r w:rsidR="00055594" w:rsidRPr="00A3083F">
        <w:rPr>
          <w:rFonts w:ascii="Times New Roman" w:hAnsi="Times New Roman" w:cs="Times New Roman"/>
          <w:i/>
          <w:sz w:val="24"/>
          <w:szCs w:val="24"/>
        </w:rPr>
        <w:t xml:space="preserve">адиальное и латеральное распределение макро- и микроэлементов 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>в четырех разрезах подзолистых и дерново-подзолистых почв типичной для Центрально-Лесного заповедника катене. В 90 почвенных образцах измерены величина рН, содержание углерода органических веществ, макро- (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>) и микроэлементов (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Sr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791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E02791" w:rsidRPr="00A3083F">
        <w:rPr>
          <w:rFonts w:ascii="Times New Roman" w:hAnsi="Times New Roman" w:cs="Times New Roman"/>
          <w:i/>
          <w:sz w:val="24"/>
          <w:szCs w:val="24"/>
        </w:rPr>
        <w:t>)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 xml:space="preserve">, в том числе три подвижные формы металлов (обменная, комплексная и сорбированная гидроксидами </w:t>
      </w:r>
      <w:r w:rsidR="007133AB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133AB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 xml:space="preserve">), а также исследован гранулометрический состав. В гумусовом горизонте подзолистых и дерново-подзолистых почв валовое содержание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составляет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1,2%,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0,33%,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482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292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Sr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90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39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21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21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– 9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AE7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 8 – </w:t>
      </w:r>
      <w:r w:rsidR="007133AB" w:rsidRPr="00A3083F">
        <w:rPr>
          <w:rFonts w:ascii="Times New Roman" w:hAnsi="Times New Roman" w:cs="Times New Roman"/>
          <w:i/>
          <w:sz w:val="24"/>
          <w:szCs w:val="24"/>
        </w:rPr>
        <w:t>мг/кг</w:t>
      </w:r>
      <w:r w:rsidR="00D53AE7" w:rsidRPr="00A308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По содержанию подвижных форм металлы образуют ряд: обменные –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Sr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комплексные –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Sr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сорбирвоанные гидроксидами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Sr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A94DEA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A94DEA" w:rsidRPr="00A3083F">
        <w:rPr>
          <w:rFonts w:ascii="Times New Roman" w:hAnsi="Times New Roman" w:cs="Times New Roman"/>
          <w:i/>
          <w:sz w:val="24"/>
          <w:szCs w:val="24"/>
        </w:rPr>
        <w:t>. Во всех изученных подзолистых и дерново-подзолистых почвах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 валовое содержание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, обменных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, комплексных –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27C" w:rsidRPr="00A3083F">
        <w:rPr>
          <w:rFonts w:ascii="Times New Roman" w:hAnsi="Times New Roman" w:cs="Times New Roman"/>
          <w:i/>
          <w:sz w:val="24"/>
          <w:szCs w:val="24"/>
        </w:rPr>
        <w:t>и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57D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FF357D" w:rsidRPr="00A3083F">
        <w:rPr>
          <w:rFonts w:ascii="Times New Roman" w:hAnsi="Times New Roman" w:cs="Times New Roman"/>
          <w:i/>
          <w:sz w:val="24"/>
          <w:szCs w:val="24"/>
        </w:rPr>
        <w:t>,</w:t>
      </w:r>
      <w:r w:rsidR="00C1527C" w:rsidRPr="00A3083F">
        <w:rPr>
          <w:rFonts w:ascii="Times New Roman" w:hAnsi="Times New Roman" w:cs="Times New Roman"/>
          <w:i/>
          <w:sz w:val="24"/>
          <w:szCs w:val="24"/>
        </w:rPr>
        <w:t xml:space="preserve"> сорбированных гидроксидами </w:t>
      </w:r>
      <w:r w:rsidR="00C1527C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C1527C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527C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C1527C" w:rsidRPr="00A3083F">
        <w:rPr>
          <w:rFonts w:ascii="Times New Roman" w:hAnsi="Times New Roman" w:cs="Times New Roman"/>
          <w:i/>
          <w:sz w:val="24"/>
          <w:szCs w:val="24"/>
        </w:rPr>
        <w:t xml:space="preserve"> соединений </w:t>
      </w:r>
      <w:r w:rsidR="00C1527C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C1527C" w:rsidRPr="00A3083F">
        <w:rPr>
          <w:rFonts w:ascii="Times New Roman" w:hAnsi="Times New Roman" w:cs="Times New Roman"/>
          <w:i/>
          <w:sz w:val="24"/>
          <w:szCs w:val="24"/>
        </w:rPr>
        <w:t xml:space="preserve"> повышено в верхних горизонтах (гумусовом и подстилке).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 Пониженные содержания в элювиальном горизонте и/или повышенные в текстурном свойственны валовому содержанию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Sr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обменным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комплексным соединениям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, сорбированным гидроксидами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B662E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918" w:rsidRPr="00A3083F">
        <w:rPr>
          <w:rFonts w:ascii="Times New Roman" w:hAnsi="Times New Roman" w:cs="Times New Roman"/>
          <w:i/>
          <w:sz w:val="24"/>
          <w:szCs w:val="24"/>
        </w:rPr>
        <w:t>–</w:t>
      </w:r>
      <w:r w:rsidR="002B662E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918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CE6918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918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CE6918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918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CE6918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918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CE6918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918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CE6918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E6918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CE6918" w:rsidRPr="00A3083F">
        <w:rPr>
          <w:rFonts w:ascii="Times New Roman" w:hAnsi="Times New Roman" w:cs="Times New Roman"/>
          <w:i/>
          <w:sz w:val="24"/>
          <w:szCs w:val="24"/>
        </w:rPr>
        <w:t xml:space="preserve">. Валовое содержание всех изученных металлов увеличивается в гумусовом горизонте дерново-подзолистых почв склона катены. В гумусовом горизонте дерново-подзолистых почв подчиненных ландшафтов увеличивается содержание 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обменных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Sr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комплексных соединений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 и уменьшается концентрация обменных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комплексных соединений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 и сорбированных соединений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Zn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Pb</w:t>
      </w:r>
      <w:r w:rsidR="00A3083F" w:rsidRPr="00A3083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DF2F34" w:rsidRPr="00A30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F34" w:rsidRPr="00A3083F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r w:rsidR="00A3083F" w:rsidRPr="00A3083F">
        <w:rPr>
          <w:rFonts w:ascii="Times New Roman" w:hAnsi="Times New Roman" w:cs="Times New Roman"/>
          <w:i/>
          <w:sz w:val="24"/>
          <w:szCs w:val="24"/>
        </w:rPr>
        <w:t>.</w:t>
      </w:r>
    </w:p>
    <w:p w:rsidR="00AE7E59" w:rsidRPr="00A3083F" w:rsidRDefault="00AB4AE7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3F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7E1661" w:rsidRPr="00A3083F">
        <w:rPr>
          <w:rFonts w:ascii="Times New Roman" w:hAnsi="Times New Roman" w:cs="Times New Roman"/>
          <w:i/>
          <w:sz w:val="24"/>
          <w:szCs w:val="24"/>
        </w:rPr>
        <w:t>:</w:t>
      </w:r>
      <w:r w:rsidRPr="00A3083F">
        <w:rPr>
          <w:rFonts w:ascii="Times New Roman" w:hAnsi="Times New Roman" w:cs="Times New Roman"/>
          <w:i/>
          <w:sz w:val="24"/>
          <w:szCs w:val="24"/>
        </w:rPr>
        <w:t xml:space="preserve"> дерново-подзолистые почвы, тяжелые металлы, железо, марганец, геохимия ландшафтов</w:t>
      </w:r>
    </w:p>
    <w:p w:rsidR="00A3083F" w:rsidRPr="00A3083F" w:rsidRDefault="00A3083F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E59" w:rsidRPr="00AB4AE7" w:rsidRDefault="00AB4AE7" w:rsidP="0013745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4AE7">
        <w:rPr>
          <w:rFonts w:ascii="Times New Roman" w:hAnsi="Times New Roman" w:cs="Times New Roman"/>
          <w:b/>
          <w:color w:val="auto"/>
          <w:sz w:val="24"/>
          <w:szCs w:val="24"/>
        </w:rPr>
        <w:t>Введение.</w:t>
      </w:r>
    </w:p>
    <w:p w:rsidR="00137451" w:rsidRPr="00FD7640" w:rsidRDefault="0032511A" w:rsidP="0090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 xml:space="preserve">Оценке фонового состояния ландшафтов, осуществляющейся преимущественно в биосферных резерватах, уделяют особое внимание в международных программах по окружающей среде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AB4AE7">
        <w:rPr>
          <w:rFonts w:ascii="Times New Roman" w:hAnsi="Times New Roman" w:cs="Times New Roman"/>
          <w:sz w:val="24"/>
          <w:szCs w:val="24"/>
        </w:rPr>
        <w:t xml:space="preserve"> и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UNEP</w:t>
      </w:r>
      <w:r w:rsidRPr="00AB4AE7">
        <w:rPr>
          <w:rFonts w:ascii="Times New Roman" w:hAnsi="Times New Roman" w:cs="Times New Roman"/>
          <w:sz w:val="24"/>
          <w:szCs w:val="24"/>
        </w:rPr>
        <w:t xml:space="preserve">. Анализ геохимической структуры ландшафтов различного уровня является неотъемлемой частью фонового мониторинга, главным методом которого в настоящее время является катенарный, основанный на выявлении наиболее типичных объектов и изучении распределения химических соединений в их компонентах. На примере модельных катен, включающих </w:t>
      </w:r>
      <w:r w:rsidRPr="00FD7640">
        <w:rPr>
          <w:rFonts w:ascii="Times New Roman" w:hAnsi="Times New Roman" w:cs="Times New Roman"/>
          <w:sz w:val="24"/>
          <w:szCs w:val="24"/>
        </w:rPr>
        <w:t>наиболее распространенные элементарные ландшафты и их сопряжения, оценивают параметры радиального и латерального распределения элементов в различных блоках ландшафтов</w:t>
      </w:r>
      <w:r w:rsidR="004D4CBA" w:rsidRPr="00FD7640">
        <w:rPr>
          <w:rFonts w:ascii="Times New Roman" w:hAnsi="Times New Roman" w:cs="Times New Roman"/>
          <w:sz w:val="24"/>
          <w:szCs w:val="24"/>
        </w:rPr>
        <w:t xml:space="preserve"> </w:t>
      </w:r>
      <w:r w:rsidR="003C6FE4" w:rsidRPr="00FD7640">
        <w:rPr>
          <w:rFonts w:ascii="Times New Roman" w:hAnsi="Times New Roman" w:cs="Times New Roman"/>
          <w:sz w:val="24"/>
          <w:szCs w:val="24"/>
        </w:rPr>
        <w:t>[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begin"/>
      </w:r>
      <w:r w:rsidR="00D3094D" w:rsidRPr="00FD7640">
        <w:rPr>
          <w:rFonts w:ascii="Times New Roman" w:hAnsi="Times New Roman" w:cs="Times New Roman"/>
          <w:sz w:val="24"/>
          <w:szCs w:val="24"/>
        </w:rPr>
        <w:instrText xml:space="preserve"> REF _Ref520752210 \r \h </w:instrText>
      </w:r>
      <w:r w:rsidR="00FD7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3094D" w:rsidRPr="00FD7640">
        <w:rPr>
          <w:rFonts w:ascii="Times New Roman" w:hAnsi="Times New Roman" w:cs="Times New Roman"/>
          <w:sz w:val="24"/>
          <w:szCs w:val="24"/>
        </w:rPr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separate"/>
      </w:r>
      <w:r w:rsidR="00D3094D" w:rsidRPr="00FD7640">
        <w:rPr>
          <w:rFonts w:ascii="Times New Roman" w:hAnsi="Times New Roman" w:cs="Times New Roman"/>
          <w:sz w:val="24"/>
          <w:szCs w:val="24"/>
        </w:rPr>
        <w:t>1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end"/>
      </w:r>
      <w:r w:rsidR="003C6FE4" w:rsidRPr="00FD7640">
        <w:rPr>
          <w:rFonts w:ascii="Times New Roman" w:hAnsi="Times New Roman" w:cs="Times New Roman"/>
          <w:sz w:val="24"/>
          <w:szCs w:val="24"/>
        </w:rPr>
        <w:t>]</w:t>
      </w:r>
      <w:r w:rsidRPr="00FD7640">
        <w:rPr>
          <w:rFonts w:ascii="Times New Roman" w:hAnsi="Times New Roman" w:cs="Times New Roman"/>
          <w:sz w:val="24"/>
          <w:szCs w:val="24"/>
        </w:rPr>
        <w:t>.</w:t>
      </w:r>
    </w:p>
    <w:p w:rsidR="0032511A" w:rsidRPr="00FD7640" w:rsidRDefault="0032511A" w:rsidP="003251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40">
        <w:rPr>
          <w:rFonts w:ascii="Times New Roman" w:hAnsi="Times New Roman" w:cs="Times New Roman"/>
          <w:sz w:val="24"/>
          <w:szCs w:val="24"/>
        </w:rPr>
        <w:t xml:space="preserve">Распределение валового содержания элементов в почвах фоновых ландшафтов описано во многих </w:t>
      </w:r>
      <w:r w:rsidR="00022D06" w:rsidRPr="00FD7640">
        <w:rPr>
          <w:rFonts w:ascii="Times New Roman" w:hAnsi="Times New Roman" w:cs="Times New Roman"/>
          <w:sz w:val="24"/>
          <w:szCs w:val="24"/>
        </w:rPr>
        <w:t>исследованиях</w:t>
      </w:r>
      <w:r w:rsidRPr="00FD7640">
        <w:rPr>
          <w:rFonts w:ascii="Times New Roman" w:hAnsi="Times New Roman" w:cs="Times New Roman"/>
          <w:sz w:val="24"/>
          <w:szCs w:val="24"/>
        </w:rPr>
        <w:t xml:space="preserve">. В почвенно-геохимических </w:t>
      </w:r>
      <w:r w:rsidR="00856000" w:rsidRPr="00FD7640">
        <w:rPr>
          <w:rFonts w:ascii="Times New Roman" w:hAnsi="Times New Roman" w:cs="Times New Roman"/>
          <w:sz w:val="24"/>
          <w:szCs w:val="24"/>
        </w:rPr>
        <w:t>работах</w:t>
      </w:r>
      <w:r w:rsidRPr="00FD7640">
        <w:rPr>
          <w:rFonts w:ascii="Times New Roman" w:hAnsi="Times New Roman" w:cs="Times New Roman"/>
          <w:sz w:val="24"/>
          <w:szCs w:val="24"/>
        </w:rPr>
        <w:t xml:space="preserve"> результаты часто используемых химических методов экстракции интерпретируют с учетом физико-химических условий и представлений о поведении металлов в конкретной обстановке. Системн</w:t>
      </w:r>
      <w:r w:rsidR="00856000" w:rsidRPr="00FD7640">
        <w:rPr>
          <w:rFonts w:ascii="Times New Roman" w:hAnsi="Times New Roman" w:cs="Times New Roman"/>
          <w:sz w:val="24"/>
          <w:szCs w:val="24"/>
        </w:rPr>
        <w:t>о</w:t>
      </w:r>
      <w:r w:rsidRPr="00FD7640">
        <w:rPr>
          <w:rFonts w:ascii="Times New Roman" w:hAnsi="Times New Roman" w:cs="Times New Roman"/>
          <w:sz w:val="24"/>
          <w:szCs w:val="24"/>
        </w:rPr>
        <w:t xml:space="preserve">е </w:t>
      </w:r>
      <w:r w:rsidR="00856000" w:rsidRPr="00FD7640">
        <w:rPr>
          <w:rFonts w:ascii="Times New Roman" w:hAnsi="Times New Roman" w:cs="Times New Roman"/>
          <w:sz w:val="24"/>
          <w:szCs w:val="24"/>
        </w:rPr>
        <w:t>изучение</w:t>
      </w:r>
      <w:r w:rsidRPr="00FD7640">
        <w:rPr>
          <w:rFonts w:ascii="Times New Roman" w:hAnsi="Times New Roman" w:cs="Times New Roman"/>
          <w:sz w:val="24"/>
          <w:szCs w:val="24"/>
        </w:rPr>
        <w:t xml:space="preserve"> уровней содержания подвижных B, Co, Cu, I, Mn и Mo выполнены на территории бывшего СССР</w:t>
      </w:r>
      <w:r w:rsidR="009060E9" w:rsidRPr="00FD7640">
        <w:rPr>
          <w:rFonts w:ascii="Times New Roman" w:hAnsi="Times New Roman" w:cs="Times New Roman"/>
          <w:sz w:val="24"/>
          <w:szCs w:val="24"/>
        </w:rPr>
        <w:t xml:space="preserve"> </w:t>
      </w:r>
      <w:r w:rsidR="003C6FE4" w:rsidRPr="00FD7640">
        <w:rPr>
          <w:rFonts w:ascii="Times New Roman" w:hAnsi="Times New Roman" w:cs="Times New Roman"/>
          <w:sz w:val="24"/>
          <w:szCs w:val="24"/>
        </w:rPr>
        <w:t>[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begin"/>
      </w:r>
      <w:r w:rsidR="00D3094D" w:rsidRPr="00FD7640">
        <w:rPr>
          <w:rFonts w:ascii="Times New Roman" w:hAnsi="Times New Roman" w:cs="Times New Roman"/>
          <w:sz w:val="24"/>
          <w:szCs w:val="24"/>
        </w:rPr>
        <w:instrText xml:space="preserve"> REF _Ref520752217 \r \h </w:instrText>
      </w:r>
      <w:r w:rsidR="00FD7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3094D" w:rsidRPr="00FD7640">
        <w:rPr>
          <w:rFonts w:ascii="Times New Roman" w:hAnsi="Times New Roman" w:cs="Times New Roman"/>
          <w:sz w:val="24"/>
          <w:szCs w:val="24"/>
        </w:rPr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separate"/>
      </w:r>
      <w:r w:rsidR="00D3094D" w:rsidRPr="00FD7640">
        <w:rPr>
          <w:rFonts w:ascii="Times New Roman" w:hAnsi="Times New Roman" w:cs="Times New Roman"/>
          <w:sz w:val="24"/>
          <w:szCs w:val="24"/>
        </w:rPr>
        <w:t>2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end"/>
      </w:r>
      <w:r w:rsidR="00AD596F" w:rsidRPr="00AD596F">
        <w:rPr>
          <w:rFonts w:ascii="Times New Roman" w:hAnsi="Times New Roman" w:cs="Times New Roman"/>
          <w:sz w:val="24"/>
          <w:szCs w:val="24"/>
        </w:rPr>
        <w:t xml:space="preserve"> </w:t>
      </w:r>
      <w:r w:rsidR="00FD7640" w:rsidRPr="00FD7640">
        <w:rPr>
          <w:rFonts w:ascii="Times New Roman" w:hAnsi="Times New Roman" w:cs="Times New Roman"/>
          <w:sz w:val="24"/>
          <w:szCs w:val="24"/>
        </w:rPr>
        <w:t>–</w:t>
      </w:r>
      <w:r w:rsidR="00AD596F" w:rsidRPr="00AD596F">
        <w:rPr>
          <w:rFonts w:ascii="Times New Roman" w:hAnsi="Times New Roman" w:cs="Times New Roman"/>
          <w:sz w:val="24"/>
          <w:szCs w:val="24"/>
        </w:rPr>
        <w:t xml:space="preserve"> 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begin"/>
      </w:r>
      <w:r w:rsidR="00D3094D" w:rsidRPr="00FD7640">
        <w:rPr>
          <w:rFonts w:ascii="Times New Roman" w:hAnsi="Times New Roman" w:cs="Times New Roman"/>
          <w:sz w:val="24"/>
          <w:szCs w:val="24"/>
        </w:rPr>
        <w:instrText xml:space="preserve"> REF _Ref520752230 \r \h </w:instrText>
      </w:r>
      <w:r w:rsidR="00FD7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3094D" w:rsidRPr="00FD7640">
        <w:rPr>
          <w:rFonts w:ascii="Times New Roman" w:hAnsi="Times New Roman" w:cs="Times New Roman"/>
          <w:sz w:val="24"/>
          <w:szCs w:val="24"/>
        </w:rPr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separate"/>
      </w:r>
      <w:r w:rsidR="00D3094D" w:rsidRPr="00FD7640">
        <w:rPr>
          <w:rFonts w:ascii="Times New Roman" w:hAnsi="Times New Roman" w:cs="Times New Roman"/>
          <w:sz w:val="24"/>
          <w:szCs w:val="24"/>
        </w:rPr>
        <w:t>4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end"/>
      </w:r>
      <w:r w:rsidR="00642D84" w:rsidRPr="00FD7640">
        <w:rPr>
          <w:rFonts w:ascii="Times New Roman" w:hAnsi="Times New Roman" w:cs="Times New Roman"/>
          <w:sz w:val="24"/>
          <w:szCs w:val="24"/>
        </w:rPr>
        <w:t xml:space="preserve"> и др</w:t>
      </w:r>
      <w:r w:rsidR="003C6FE4" w:rsidRPr="00FD7640">
        <w:rPr>
          <w:rFonts w:ascii="Times New Roman" w:hAnsi="Times New Roman" w:cs="Times New Roman"/>
          <w:sz w:val="24"/>
          <w:szCs w:val="24"/>
        </w:rPr>
        <w:t>]</w:t>
      </w:r>
      <w:r w:rsidRPr="00FD7640">
        <w:rPr>
          <w:rFonts w:ascii="Times New Roman" w:hAnsi="Times New Roman" w:cs="Times New Roman"/>
          <w:sz w:val="24"/>
          <w:szCs w:val="24"/>
        </w:rPr>
        <w:t xml:space="preserve">. Содержание специфически сорбированных соединений </w:t>
      </w:r>
      <w:r w:rsidR="00856000" w:rsidRPr="00FD7640">
        <w:rPr>
          <w:rFonts w:ascii="Times New Roman" w:hAnsi="Times New Roman" w:cs="Times New Roman"/>
          <w:sz w:val="24"/>
          <w:szCs w:val="24"/>
        </w:rPr>
        <w:t xml:space="preserve">и валового </w:t>
      </w:r>
      <w:r w:rsidR="00856000" w:rsidRPr="00FD764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</w:t>
      </w:r>
      <w:r w:rsidRPr="00FD7640">
        <w:rPr>
          <w:rFonts w:ascii="Times New Roman" w:hAnsi="Times New Roman" w:cs="Times New Roman"/>
          <w:sz w:val="24"/>
          <w:szCs w:val="24"/>
        </w:rPr>
        <w:t>50 элементов определено в верхнем пахотном горизонте почв Европы</w:t>
      </w:r>
      <w:r w:rsidR="009060E9" w:rsidRPr="00FD7640">
        <w:rPr>
          <w:rFonts w:ascii="Times New Roman" w:hAnsi="Times New Roman" w:cs="Times New Roman"/>
          <w:sz w:val="24"/>
          <w:szCs w:val="24"/>
        </w:rPr>
        <w:t xml:space="preserve"> </w:t>
      </w:r>
      <w:r w:rsidR="003C6FE4" w:rsidRPr="00FD7640">
        <w:rPr>
          <w:rFonts w:ascii="Times New Roman" w:hAnsi="Times New Roman" w:cs="Times New Roman"/>
          <w:sz w:val="24"/>
          <w:szCs w:val="24"/>
        </w:rPr>
        <w:t>[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begin"/>
      </w:r>
      <w:r w:rsidR="00D3094D" w:rsidRPr="00FD7640">
        <w:rPr>
          <w:rFonts w:ascii="Times New Roman" w:hAnsi="Times New Roman" w:cs="Times New Roman"/>
          <w:sz w:val="24"/>
          <w:szCs w:val="24"/>
        </w:rPr>
        <w:instrText xml:space="preserve"> REF _Ref520752241 \r \h </w:instrText>
      </w:r>
      <w:r w:rsidR="00FD7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3094D" w:rsidRPr="00FD7640">
        <w:rPr>
          <w:rFonts w:ascii="Times New Roman" w:hAnsi="Times New Roman" w:cs="Times New Roman"/>
          <w:sz w:val="24"/>
          <w:szCs w:val="24"/>
        </w:rPr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separate"/>
      </w:r>
      <w:r w:rsidR="00D3094D" w:rsidRPr="00FD7640">
        <w:rPr>
          <w:rFonts w:ascii="Times New Roman" w:hAnsi="Times New Roman" w:cs="Times New Roman"/>
          <w:sz w:val="24"/>
          <w:szCs w:val="24"/>
        </w:rPr>
        <w:t>5</w:t>
      </w:r>
      <w:r w:rsidR="00D3094D" w:rsidRPr="00FD7640">
        <w:rPr>
          <w:rFonts w:ascii="Times New Roman" w:hAnsi="Times New Roman" w:cs="Times New Roman"/>
          <w:sz w:val="24"/>
          <w:szCs w:val="24"/>
        </w:rPr>
        <w:fldChar w:fldCharType="end"/>
      </w:r>
      <w:r w:rsidR="00D3094D" w:rsidRPr="00FD7640">
        <w:rPr>
          <w:rFonts w:ascii="Times New Roman" w:hAnsi="Times New Roman" w:cs="Times New Roman"/>
          <w:sz w:val="24"/>
          <w:szCs w:val="24"/>
        </w:rPr>
        <w:t xml:space="preserve"> </w:t>
      </w:r>
      <w:r w:rsidR="00753B16" w:rsidRPr="00FD7640">
        <w:rPr>
          <w:rFonts w:ascii="Times New Roman" w:hAnsi="Times New Roman" w:cs="Times New Roman"/>
          <w:sz w:val="24"/>
          <w:szCs w:val="24"/>
        </w:rPr>
        <w:t>и др</w:t>
      </w:r>
      <w:r w:rsidR="003C6FE4" w:rsidRPr="00FD7640">
        <w:rPr>
          <w:rFonts w:ascii="Times New Roman" w:hAnsi="Times New Roman" w:cs="Times New Roman"/>
          <w:sz w:val="24"/>
          <w:szCs w:val="24"/>
        </w:rPr>
        <w:t>]</w:t>
      </w:r>
      <w:r w:rsidRPr="00FD7640">
        <w:rPr>
          <w:rFonts w:ascii="Times New Roman" w:hAnsi="Times New Roman" w:cs="Times New Roman"/>
          <w:sz w:val="24"/>
          <w:szCs w:val="24"/>
        </w:rPr>
        <w:t xml:space="preserve">. Наиболее детально охарактеризованы обменные и сорбированные соединения Cu, Ni, Pb, Zn, обменные Co и сорбированные Mn как микроэлементов и приоритетных загрязнителей в </w:t>
      </w:r>
      <w:r w:rsidR="00856000" w:rsidRPr="00FD7640">
        <w:rPr>
          <w:rFonts w:ascii="Times New Roman" w:hAnsi="Times New Roman" w:cs="Times New Roman"/>
          <w:sz w:val="24"/>
          <w:szCs w:val="24"/>
        </w:rPr>
        <w:t>подзолистых, дерново-подзолистых, серых лесных почвах и черноземах</w:t>
      </w:r>
      <w:r w:rsidRPr="00FD7640">
        <w:rPr>
          <w:rFonts w:ascii="Times New Roman" w:hAnsi="Times New Roman" w:cs="Times New Roman"/>
          <w:sz w:val="24"/>
          <w:szCs w:val="24"/>
        </w:rPr>
        <w:t xml:space="preserve">. Органоминеральные соединения металлов изучены слабо. </w:t>
      </w:r>
    </w:p>
    <w:p w:rsidR="0032511A" w:rsidRPr="00FD7640" w:rsidRDefault="0032511A" w:rsidP="003251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40">
        <w:rPr>
          <w:rFonts w:ascii="Times New Roman" w:hAnsi="Times New Roman" w:cs="Times New Roman"/>
          <w:sz w:val="24"/>
          <w:szCs w:val="24"/>
        </w:rPr>
        <w:t>Латеральная дифференциация металлов изучена, преимущественно, в таежных, лесостепных и степных катенах</w:t>
      </w:r>
      <w:r w:rsidR="009060E9" w:rsidRPr="00FD7640">
        <w:rPr>
          <w:rFonts w:ascii="Times New Roman" w:hAnsi="Times New Roman" w:cs="Times New Roman"/>
          <w:sz w:val="24"/>
          <w:szCs w:val="24"/>
        </w:rPr>
        <w:t xml:space="preserve"> </w:t>
      </w:r>
      <w:r w:rsidR="003C6FE4" w:rsidRPr="00FD7640">
        <w:rPr>
          <w:rFonts w:ascii="Times New Roman" w:hAnsi="Times New Roman" w:cs="Times New Roman"/>
          <w:sz w:val="24"/>
          <w:szCs w:val="24"/>
        </w:rPr>
        <w:t>[</w:t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begin"/>
      </w:r>
      <w:r w:rsidR="00FD7640" w:rsidRPr="00FD7640">
        <w:rPr>
          <w:rFonts w:ascii="Times New Roman" w:hAnsi="Times New Roman" w:cs="Times New Roman"/>
          <w:sz w:val="24"/>
          <w:szCs w:val="24"/>
        </w:rPr>
        <w:instrText xml:space="preserve"> REF _Ref520752361 \r \h </w:instrText>
      </w:r>
      <w:r w:rsidR="00FD7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D7640" w:rsidRPr="00FD7640">
        <w:rPr>
          <w:rFonts w:ascii="Times New Roman" w:hAnsi="Times New Roman" w:cs="Times New Roman"/>
          <w:sz w:val="24"/>
          <w:szCs w:val="24"/>
        </w:rPr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separate"/>
      </w:r>
      <w:r w:rsidR="00FD7640" w:rsidRPr="00FD7640">
        <w:rPr>
          <w:rFonts w:ascii="Times New Roman" w:hAnsi="Times New Roman" w:cs="Times New Roman"/>
          <w:sz w:val="24"/>
          <w:szCs w:val="24"/>
        </w:rPr>
        <w:t>6</w:t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end"/>
      </w:r>
      <w:r w:rsidR="00FD7640" w:rsidRPr="00FD7640">
        <w:rPr>
          <w:rFonts w:ascii="Times New Roman" w:hAnsi="Times New Roman" w:cs="Times New Roman"/>
          <w:sz w:val="24"/>
          <w:szCs w:val="24"/>
        </w:rPr>
        <w:t xml:space="preserve"> – </w:t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begin"/>
      </w:r>
      <w:r w:rsidR="00FD7640" w:rsidRPr="00FD7640">
        <w:rPr>
          <w:rFonts w:ascii="Times New Roman" w:hAnsi="Times New Roman" w:cs="Times New Roman"/>
          <w:sz w:val="24"/>
          <w:szCs w:val="24"/>
        </w:rPr>
        <w:instrText xml:space="preserve"> REF _Ref520752393 \r \h </w:instrText>
      </w:r>
      <w:r w:rsidR="00FD7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D7640" w:rsidRPr="00FD7640">
        <w:rPr>
          <w:rFonts w:ascii="Times New Roman" w:hAnsi="Times New Roman" w:cs="Times New Roman"/>
          <w:sz w:val="24"/>
          <w:szCs w:val="24"/>
        </w:rPr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separate"/>
      </w:r>
      <w:r w:rsidR="00FD7640" w:rsidRPr="00FD7640">
        <w:rPr>
          <w:rFonts w:ascii="Times New Roman" w:hAnsi="Times New Roman" w:cs="Times New Roman"/>
          <w:sz w:val="24"/>
          <w:szCs w:val="24"/>
        </w:rPr>
        <w:t>12</w:t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end"/>
      </w:r>
      <w:r w:rsidR="00162C67" w:rsidRPr="00FD7640">
        <w:rPr>
          <w:rFonts w:ascii="Times New Roman" w:hAnsi="Times New Roman" w:cs="Times New Roman"/>
          <w:sz w:val="24"/>
          <w:szCs w:val="24"/>
        </w:rPr>
        <w:t xml:space="preserve"> и др</w:t>
      </w:r>
      <w:r w:rsidR="003C6FE4" w:rsidRPr="00FD7640">
        <w:rPr>
          <w:rFonts w:ascii="Times New Roman" w:hAnsi="Times New Roman" w:cs="Times New Roman"/>
          <w:sz w:val="24"/>
          <w:szCs w:val="24"/>
        </w:rPr>
        <w:t>]</w:t>
      </w:r>
      <w:r w:rsidRPr="00FD7640">
        <w:rPr>
          <w:rFonts w:ascii="Times New Roman" w:hAnsi="Times New Roman" w:cs="Times New Roman"/>
          <w:sz w:val="24"/>
          <w:szCs w:val="24"/>
        </w:rPr>
        <w:t xml:space="preserve">. </w:t>
      </w:r>
      <w:r w:rsidR="006664C3" w:rsidRPr="00FD7640">
        <w:rPr>
          <w:rFonts w:ascii="Times New Roman" w:hAnsi="Times New Roman" w:cs="Times New Roman"/>
          <w:sz w:val="24"/>
          <w:szCs w:val="24"/>
        </w:rPr>
        <w:t>Комплексно</w:t>
      </w:r>
      <w:r w:rsidR="00B811CD" w:rsidRPr="00FD7640">
        <w:rPr>
          <w:rFonts w:ascii="Times New Roman" w:hAnsi="Times New Roman" w:cs="Times New Roman"/>
          <w:sz w:val="24"/>
          <w:szCs w:val="24"/>
        </w:rPr>
        <w:t xml:space="preserve"> р</w:t>
      </w:r>
      <w:r w:rsidRPr="00FD7640">
        <w:rPr>
          <w:rFonts w:ascii="Times New Roman" w:hAnsi="Times New Roman" w:cs="Times New Roman"/>
          <w:sz w:val="24"/>
          <w:szCs w:val="24"/>
        </w:rPr>
        <w:t xml:space="preserve">адиальная и латеральная почвенно-геохимическая структура изучена на примере </w:t>
      </w:r>
      <w:r w:rsidR="009060E9" w:rsidRPr="00FD7640">
        <w:rPr>
          <w:rFonts w:ascii="Times New Roman" w:hAnsi="Times New Roman" w:cs="Times New Roman"/>
          <w:sz w:val="24"/>
          <w:szCs w:val="24"/>
        </w:rPr>
        <w:t>трех</w:t>
      </w:r>
      <w:r w:rsidRPr="00FD7640">
        <w:rPr>
          <w:rFonts w:ascii="Times New Roman" w:hAnsi="Times New Roman" w:cs="Times New Roman"/>
          <w:sz w:val="24"/>
          <w:szCs w:val="24"/>
        </w:rPr>
        <w:t xml:space="preserve"> ключевых участков в таежных катенах Восточно-Европейской и Западно-Сибирской равнин</w:t>
      </w:r>
      <w:r w:rsidR="009060E9" w:rsidRPr="00FD7640">
        <w:rPr>
          <w:rFonts w:ascii="Times New Roman" w:hAnsi="Times New Roman" w:cs="Times New Roman"/>
          <w:sz w:val="24"/>
          <w:szCs w:val="24"/>
        </w:rPr>
        <w:t xml:space="preserve"> </w:t>
      </w:r>
      <w:r w:rsidR="003C6FE4" w:rsidRPr="00FD7640">
        <w:rPr>
          <w:rFonts w:ascii="Times New Roman" w:hAnsi="Times New Roman" w:cs="Times New Roman"/>
          <w:sz w:val="24"/>
          <w:szCs w:val="24"/>
        </w:rPr>
        <w:t>[</w:t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begin"/>
      </w:r>
      <w:r w:rsidR="00FD7640" w:rsidRPr="00FD7640">
        <w:rPr>
          <w:rFonts w:ascii="Times New Roman" w:hAnsi="Times New Roman" w:cs="Times New Roman"/>
          <w:sz w:val="24"/>
          <w:szCs w:val="24"/>
        </w:rPr>
        <w:instrText xml:space="preserve"> REF _Ref520752418 \r \h </w:instrText>
      </w:r>
      <w:r w:rsidR="00FD7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D7640" w:rsidRPr="00FD7640">
        <w:rPr>
          <w:rFonts w:ascii="Times New Roman" w:hAnsi="Times New Roman" w:cs="Times New Roman"/>
          <w:sz w:val="24"/>
          <w:szCs w:val="24"/>
        </w:rPr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separate"/>
      </w:r>
      <w:r w:rsidR="00FD7640" w:rsidRPr="00FD7640">
        <w:rPr>
          <w:rFonts w:ascii="Times New Roman" w:hAnsi="Times New Roman" w:cs="Times New Roman"/>
          <w:sz w:val="24"/>
          <w:szCs w:val="24"/>
        </w:rPr>
        <w:t>13</w:t>
      </w:r>
      <w:r w:rsidR="00FD7640" w:rsidRPr="00FD7640">
        <w:rPr>
          <w:rFonts w:ascii="Times New Roman" w:hAnsi="Times New Roman" w:cs="Times New Roman"/>
          <w:sz w:val="24"/>
          <w:szCs w:val="24"/>
        </w:rPr>
        <w:fldChar w:fldCharType="end"/>
      </w:r>
      <w:r w:rsidR="003C6FE4" w:rsidRPr="00FD7640">
        <w:rPr>
          <w:rFonts w:ascii="Times New Roman" w:hAnsi="Times New Roman" w:cs="Times New Roman"/>
          <w:sz w:val="24"/>
          <w:szCs w:val="24"/>
        </w:rPr>
        <w:t>]</w:t>
      </w:r>
      <w:r w:rsidRPr="00FD7640">
        <w:rPr>
          <w:rFonts w:ascii="Times New Roman" w:hAnsi="Times New Roman" w:cs="Times New Roman"/>
          <w:sz w:val="24"/>
          <w:szCs w:val="24"/>
        </w:rPr>
        <w:t>.</w:t>
      </w:r>
    </w:p>
    <w:p w:rsidR="0032511A" w:rsidRPr="00FD7640" w:rsidRDefault="0032511A" w:rsidP="003251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40">
        <w:rPr>
          <w:rFonts w:ascii="Times New Roman" w:hAnsi="Times New Roman" w:cs="Times New Roman"/>
          <w:sz w:val="24"/>
          <w:szCs w:val="24"/>
        </w:rPr>
        <w:t>Получение фундаментальных знаний о дифференциации форм Co, Cr, Cu, Fe, Mn, Ni, Pb, Sr, Ti, Zn и Zr в почвах таежн</w:t>
      </w:r>
      <w:r w:rsidR="009060E9" w:rsidRPr="00FD7640">
        <w:rPr>
          <w:rFonts w:ascii="Times New Roman" w:hAnsi="Times New Roman" w:cs="Times New Roman"/>
          <w:sz w:val="24"/>
          <w:szCs w:val="24"/>
        </w:rPr>
        <w:t>ых</w:t>
      </w:r>
      <w:r w:rsidRPr="00FD7640">
        <w:rPr>
          <w:rFonts w:ascii="Times New Roman" w:hAnsi="Times New Roman" w:cs="Times New Roman"/>
          <w:sz w:val="24"/>
          <w:szCs w:val="24"/>
        </w:rPr>
        <w:t xml:space="preserve"> катен необходимо для оценки миграции и аккумуляции элементов в природных и техногенных ландшафтах. Результаты исследования </w:t>
      </w:r>
      <w:r w:rsidR="009060E9" w:rsidRPr="00FD7640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FD7640">
        <w:rPr>
          <w:rFonts w:ascii="Times New Roman" w:hAnsi="Times New Roman" w:cs="Times New Roman"/>
          <w:sz w:val="24"/>
          <w:szCs w:val="24"/>
        </w:rPr>
        <w:t xml:space="preserve">важны </w:t>
      </w:r>
      <w:r w:rsidR="009060E9" w:rsidRPr="00FD7640">
        <w:rPr>
          <w:rFonts w:ascii="Times New Roman" w:hAnsi="Times New Roman" w:cs="Times New Roman"/>
          <w:sz w:val="24"/>
          <w:szCs w:val="24"/>
        </w:rPr>
        <w:t>в контексте</w:t>
      </w:r>
      <w:r w:rsidRPr="00FD7640">
        <w:rPr>
          <w:rFonts w:ascii="Times New Roman" w:hAnsi="Times New Roman" w:cs="Times New Roman"/>
          <w:sz w:val="24"/>
          <w:szCs w:val="24"/>
        </w:rPr>
        <w:t xml:space="preserve"> экологического мониторинга окружающей среды </w:t>
      </w:r>
      <w:r w:rsidR="009060E9" w:rsidRPr="00FD7640">
        <w:rPr>
          <w:rFonts w:ascii="Times New Roman" w:hAnsi="Times New Roman" w:cs="Times New Roman"/>
          <w:sz w:val="24"/>
          <w:szCs w:val="24"/>
        </w:rPr>
        <w:t>города Москва.</w:t>
      </w:r>
    </w:p>
    <w:p w:rsidR="00AE7E59" w:rsidRPr="00FD7640" w:rsidRDefault="00AB4AE7" w:rsidP="0013745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7640">
        <w:rPr>
          <w:rFonts w:ascii="Times New Roman" w:hAnsi="Times New Roman" w:cs="Times New Roman"/>
          <w:b/>
          <w:color w:val="auto"/>
          <w:sz w:val="24"/>
          <w:szCs w:val="24"/>
        </w:rPr>
        <w:t>Материалы и методы</w:t>
      </w:r>
    </w:p>
    <w:p w:rsidR="00A533C9" w:rsidRPr="00FD7640" w:rsidRDefault="00A533C9" w:rsidP="00A533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40">
        <w:rPr>
          <w:rFonts w:ascii="Times New Roman" w:hAnsi="Times New Roman" w:cs="Times New Roman"/>
          <w:sz w:val="24"/>
          <w:szCs w:val="24"/>
        </w:rPr>
        <w:t>В пределах Центрально-Лесного заповедника (Тверская область</w:t>
      </w:r>
      <w:r w:rsidR="004D4CBA" w:rsidRPr="00FD764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FD7640">
        <w:rPr>
          <w:rFonts w:ascii="Times New Roman" w:hAnsi="Times New Roman" w:cs="Times New Roman"/>
          <w:sz w:val="24"/>
          <w:szCs w:val="24"/>
        </w:rPr>
        <w:t xml:space="preserve">) выбрана модельная катена с сопряженными южнотаежными ландшафтами смешанных хвойно-широколиственных лесов на </w:t>
      </w:r>
      <w:r w:rsidR="00A81DA6" w:rsidRPr="00FD7640">
        <w:rPr>
          <w:rFonts w:ascii="Times New Roman" w:hAnsi="Times New Roman" w:cs="Times New Roman"/>
          <w:sz w:val="24"/>
          <w:szCs w:val="24"/>
        </w:rPr>
        <w:t>подзолистых и дерново-подзолистых почвах</w:t>
      </w:r>
      <w:r w:rsidRPr="00FD7640">
        <w:rPr>
          <w:rFonts w:ascii="Times New Roman" w:hAnsi="Times New Roman" w:cs="Times New Roman"/>
          <w:sz w:val="24"/>
          <w:szCs w:val="24"/>
        </w:rPr>
        <w:t>, сформировавшихся на лессовидных суглинках, подстилаемых карбонатными средне-тяжелосуглинистыми валдайскими суглинками. Из 4 разрезов отобран 31 образец почв.</w:t>
      </w:r>
    </w:p>
    <w:p w:rsidR="001D5E6C" w:rsidRPr="0064163E" w:rsidRDefault="001D5E6C" w:rsidP="00900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40">
        <w:rPr>
          <w:rFonts w:ascii="Times New Roman" w:hAnsi="Times New Roman" w:cs="Times New Roman"/>
          <w:sz w:val="24"/>
          <w:szCs w:val="24"/>
        </w:rPr>
        <w:t xml:space="preserve">В Эколого-геохимическом центре географического факультета МГУ определяли величину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D7640">
        <w:rPr>
          <w:rFonts w:ascii="Times New Roman" w:hAnsi="Times New Roman" w:cs="Times New Roman"/>
          <w:sz w:val="24"/>
          <w:szCs w:val="24"/>
        </w:rPr>
        <w:t xml:space="preserve"> в водной суспензии на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D7640">
        <w:rPr>
          <w:rFonts w:ascii="Times New Roman" w:hAnsi="Times New Roman" w:cs="Times New Roman"/>
          <w:sz w:val="24"/>
          <w:szCs w:val="24"/>
        </w:rPr>
        <w:t>-метре «Эксперт-рН»</w:t>
      </w:r>
      <w:r w:rsidR="00A81DA6" w:rsidRPr="00FD7640">
        <w:rPr>
          <w:rFonts w:ascii="Times New Roman" w:hAnsi="Times New Roman" w:cs="Times New Roman"/>
          <w:sz w:val="24"/>
          <w:szCs w:val="24"/>
        </w:rPr>
        <w:t xml:space="preserve"> при постоянном помешивании</w:t>
      </w:r>
      <w:r w:rsidRPr="00FD7640">
        <w:rPr>
          <w:rFonts w:ascii="Times New Roman" w:hAnsi="Times New Roman" w:cs="Times New Roman"/>
          <w:sz w:val="24"/>
          <w:szCs w:val="24"/>
        </w:rPr>
        <w:t>, содержание углерода органических веществ методом И.В. Тюрина титриметрически</w:t>
      </w:r>
      <w:r w:rsidR="00A81DA6" w:rsidRPr="00FD7640">
        <w:rPr>
          <w:rFonts w:ascii="Times New Roman" w:hAnsi="Times New Roman" w:cs="Times New Roman"/>
          <w:sz w:val="24"/>
          <w:szCs w:val="24"/>
        </w:rPr>
        <w:t xml:space="preserve"> с фенилантраниловой кислотой</w:t>
      </w:r>
      <w:r w:rsidRPr="00FD7640">
        <w:rPr>
          <w:rFonts w:ascii="Times New Roman" w:hAnsi="Times New Roman" w:cs="Times New Roman"/>
          <w:sz w:val="24"/>
          <w:szCs w:val="24"/>
        </w:rPr>
        <w:t xml:space="preserve">. В почвенных образцах выделяли формы тяжелых металлов методом параллельной экстракции. </w:t>
      </w:r>
      <w:r w:rsidR="0029709D" w:rsidRPr="00FD7640">
        <w:rPr>
          <w:rFonts w:ascii="Times New Roman" w:hAnsi="Times New Roman" w:cs="Times New Roman"/>
          <w:sz w:val="24"/>
          <w:szCs w:val="24"/>
        </w:rPr>
        <w:t>С</w:t>
      </w:r>
      <w:r w:rsidRPr="00FD7640">
        <w:rPr>
          <w:rFonts w:ascii="Times New Roman" w:hAnsi="Times New Roman" w:cs="Times New Roman"/>
          <w:sz w:val="24"/>
          <w:szCs w:val="24"/>
        </w:rPr>
        <w:t xml:space="preserve">оединения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FD7640">
        <w:rPr>
          <w:rFonts w:ascii="Times New Roman" w:hAnsi="Times New Roman" w:cs="Times New Roman"/>
          <w:sz w:val="24"/>
          <w:szCs w:val="24"/>
        </w:rPr>
        <w:t xml:space="preserve">,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D7640">
        <w:rPr>
          <w:rFonts w:ascii="Times New Roman" w:hAnsi="Times New Roman" w:cs="Times New Roman"/>
          <w:sz w:val="24"/>
          <w:szCs w:val="24"/>
        </w:rPr>
        <w:t xml:space="preserve"> и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Zr</w:t>
      </w:r>
      <w:r w:rsidRPr="00FD7640">
        <w:rPr>
          <w:rFonts w:ascii="Times New Roman" w:hAnsi="Times New Roman" w:cs="Times New Roman"/>
          <w:sz w:val="24"/>
          <w:szCs w:val="24"/>
        </w:rPr>
        <w:t xml:space="preserve"> экстрагировали в течение 18 ч тремя параллельными вытяжками: ацетатно-аммонийным буфером (ААБ) с рН 4,8 (соотношение почва:раствор 1:5), ААБ с 1% этилендиаминтетрауксусной (ЭДТА) кислотой (1:5) и 1н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D7640">
        <w:rPr>
          <w:rFonts w:ascii="Times New Roman" w:hAnsi="Times New Roman" w:cs="Times New Roman"/>
          <w:sz w:val="24"/>
          <w:szCs w:val="24"/>
        </w:rPr>
        <w:t xml:space="preserve">3 (1:10). Комплексные соединения рассчитаны по разнице концентрации металлов в вытяжке ААБ с 1% ЭДТА и ААБ; сорбированные гидроксидами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D7640">
        <w:rPr>
          <w:rFonts w:ascii="Times New Roman" w:hAnsi="Times New Roman" w:cs="Times New Roman"/>
          <w:sz w:val="24"/>
          <w:szCs w:val="24"/>
        </w:rPr>
        <w:t xml:space="preserve"> и </w:t>
      </w:r>
      <w:r w:rsidRPr="00FD7640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FD7640">
        <w:rPr>
          <w:rFonts w:ascii="Times New Roman" w:hAnsi="Times New Roman" w:cs="Times New Roman"/>
          <w:sz w:val="24"/>
          <w:szCs w:val="24"/>
        </w:rPr>
        <w:t xml:space="preserve"> – по разнице содержания в азотнокислой и ацетатно-аммонийной вытяжках. Содержание элементов определено масс-спектрометрически во Всероссийском институте анализа минерального сырья имени Н.М. Федоровского</w:t>
      </w:r>
      <w:r w:rsidR="00930E78" w:rsidRPr="00FD7640">
        <w:rPr>
          <w:rFonts w:ascii="Times New Roman" w:hAnsi="Times New Roman" w:cs="Times New Roman"/>
          <w:sz w:val="24"/>
          <w:szCs w:val="24"/>
        </w:rPr>
        <w:t xml:space="preserve"> на приборе «</w:t>
      </w:r>
      <w:r w:rsidR="00930E78" w:rsidRPr="00FD7640">
        <w:rPr>
          <w:rFonts w:ascii="Times New Roman" w:hAnsi="Times New Roman" w:cs="Times New Roman"/>
          <w:sz w:val="24"/>
          <w:szCs w:val="24"/>
          <w:lang w:val="en-US"/>
        </w:rPr>
        <w:t>Elan</w:t>
      </w:r>
      <w:r w:rsidR="00930E78" w:rsidRPr="00FD7640">
        <w:rPr>
          <w:rFonts w:ascii="Times New Roman" w:hAnsi="Times New Roman" w:cs="Times New Roman"/>
          <w:sz w:val="24"/>
          <w:szCs w:val="24"/>
        </w:rPr>
        <w:t>-6100» фирмы «</w:t>
      </w:r>
      <w:r w:rsidR="00930E78" w:rsidRPr="00FD7640">
        <w:rPr>
          <w:rFonts w:ascii="Times New Roman" w:hAnsi="Times New Roman" w:cs="Times New Roman"/>
          <w:sz w:val="24"/>
          <w:szCs w:val="24"/>
          <w:lang w:val="en-US"/>
        </w:rPr>
        <w:t>Perkin</w:t>
      </w:r>
      <w:r w:rsidR="00930E78" w:rsidRPr="00FD7640">
        <w:rPr>
          <w:rFonts w:ascii="Times New Roman" w:hAnsi="Times New Roman" w:cs="Times New Roman"/>
          <w:sz w:val="24"/>
          <w:szCs w:val="24"/>
        </w:rPr>
        <w:t>-</w:t>
      </w:r>
      <w:r w:rsidR="00930E78" w:rsidRPr="00FD7640">
        <w:rPr>
          <w:rFonts w:ascii="Times New Roman" w:hAnsi="Times New Roman" w:cs="Times New Roman"/>
          <w:sz w:val="24"/>
          <w:szCs w:val="24"/>
          <w:lang w:val="en-US"/>
        </w:rPr>
        <w:t>Elmer</w:t>
      </w:r>
      <w:r w:rsidR="00930E78" w:rsidRPr="00FD7640">
        <w:rPr>
          <w:rFonts w:ascii="Times New Roman" w:hAnsi="Times New Roman" w:cs="Times New Roman"/>
          <w:sz w:val="24"/>
          <w:szCs w:val="24"/>
        </w:rPr>
        <w:t>», США</w:t>
      </w:r>
      <w:r w:rsidRPr="00FD7640">
        <w:rPr>
          <w:rFonts w:ascii="Times New Roman" w:hAnsi="Times New Roman" w:cs="Times New Roman"/>
          <w:sz w:val="24"/>
          <w:szCs w:val="24"/>
        </w:rPr>
        <w:t>.</w:t>
      </w:r>
    </w:p>
    <w:p w:rsidR="00AE7E59" w:rsidRPr="0064163E" w:rsidRDefault="00930E78" w:rsidP="00900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3E">
        <w:rPr>
          <w:rFonts w:ascii="Times New Roman" w:hAnsi="Times New Roman"/>
          <w:noProof/>
          <w:sz w:val="24"/>
          <w:szCs w:val="24"/>
        </w:rPr>
        <w:t xml:space="preserve">Региональная геохимическая специализация ландшафтов оценена путем сравнения валовых содержаний металлов в почвах с кларками вехней части континентальной коры (подстрочные индексы – кларки, мг/кг) в соответствии с рекомендациями </w:t>
      </w:r>
      <w:r w:rsidR="003C6FE4" w:rsidRPr="003C6FE4">
        <w:rPr>
          <w:rFonts w:ascii="Times New Roman" w:hAnsi="Times New Roman"/>
          <w:noProof/>
          <w:sz w:val="24"/>
          <w:szCs w:val="24"/>
        </w:rPr>
        <w:t>[</w:t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="00FD7640">
        <w:rPr>
          <w:rFonts w:ascii="Times New Roman" w:hAnsi="Times New Roman"/>
          <w:noProof/>
          <w:sz w:val="24"/>
          <w:szCs w:val="24"/>
        </w:rPr>
        <w:instrText xml:space="preserve"> REF _Ref520752426 \r \h </w:instrText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="00FD7640">
        <w:rPr>
          <w:rFonts w:ascii="Times New Roman" w:hAnsi="Times New Roman"/>
          <w:noProof/>
          <w:sz w:val="24"/>
          <w:szCs w:val="24"/>
        </w:rPr>
        <w:t>14</w:t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  <w:r w:rsidR="003C6FE4" w:rsidRPr="003C6FE4">
        <w:rPr>
          <w:rFonts w:ascii="Times New Roman" w:hAnsi="Times New Roman"/>
          <w:noProof/>
          <w:sz w:val="24"/>
          <w:szCs w:val="24"/>
        </w:rPr>
        <w:t>]</w:t>
      </w:r>
      <w:r w:rsidRPr="0064163E">
        <w:rPr>
          <w:rFonts w:ascii="Times New Roman" w:hAnsi="Times New Roman"/>
          <w:noProof/>
          <w:sz w:val="24"/>
          <w:szCs w:val="24"/>
        </w:rPr>
        <w:t xml:space="preserve">: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Fe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4100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Mn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770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Sr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270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Pr="0064163E">
        <w:rPr>
          <w:rFonts w:ascii="Times New Roman" w:hAnsi="Times New Roman" w:cs="Times New Roman"/>
          <w:sz w:val="24"/>
          <w:szCs w:val="24"/>
          <w:lang w:val="es-ES"/>
        </w:rPr>
        <w:t>Zr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240</w:t>
      </w:r>
      <w:r w:rsidRPr="0064163E">
        <w:rPr>
          <w:rFonts w:ascii="Times New Roman" w:hAnsi="Times New Roman" w:cs="Times New Roman"/>
          <w:sz w:val="24"/>
          <w:szCs w:val="24"/>
        </w:rPr>
        <w:t xml:space="preserve">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Cr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92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Zn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75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Ni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50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Pb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17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="003C6FE4" w:rsidRPr="003C6FE4">
        <w:rPr>
          <w:rFonts w:ascii="Times New Roman" w:hAnsi="Times New Roman"/>
          <w:noProof/>
          <w:sz w:val="24"/>
          <w:szCs w:val="24"/>
        </w:rPr>
        <w:t>[</w:t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="00FD7640">
        <w:rPr>
          <w:rFonts w:ascii="Times New Roman" w:hAnsi="Times New Roman"/>
          <w:noProof/>
          <w:sz w:val="24"/>
          <w:szCs w:val="24"/>
        </w:rPr>
        <w:instrText xml:space="preserve"> REF _Ref520752432 \r \h </w:instrText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="00FD7640">
        <w:rPr>
          <w:rFonts w:ascii="Times New Roman" w:hAnsi="Times New Roman"/>
          <w:noProof/>
          <w:sz w:val="24"/>
          <w:szCs w:val="24"/>
        </w:rPr>
        <w:t>15</w:t>
      </w:r>
      <w:r w:rsidR="00FD7640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  <w:r w:rsidR="003C6FE4" w:rsidRPr="003C6FE4">
        <w:rPr>
          <w:rFonts w:ascii="Times New Roman" w:hAnsi="Times New Roman"/>
          <w:noProof/>
          <w:sz w:val="24"/>
          <w:szCs w:val="24"/>
        </w:rPr>
        <w:t>]</w:t>
      </w:r>
      <w:r w:rsidRPr="0064163E">
        <w:rPr>
          <w:rFonts w:ascii="Times New Roman" w:hAnsi="Times New Roman"/>
          <w:noProof/>
          <w:sz w:val="24"/>
          <w:szCs w:val="24"/>
        </w:rPr>
        <w:t xml:space="preserve">,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Cu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27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Pr="0064163E">
        <w:rPr>
          <w:rFonts w:ascii="Times New Roman" w:hAnsi="Times New Roman"/>
          <w:noProof/>
          <w:sz w:val="24"/>
          <w:szCs w:val="24"/>
          <w:lang w:val="en-US"/>
        </w:rPr>
        <w:t>Co</w:t>
      </w:r>
      <w:r w:rsidRPr="0064163E">
        <w:rPr>
          <w:rFonts w:ascii="Times New Roman" w:hAnsi="Times New Roman"/>
          <w:noProof/>
          <w:sz w:val="24"/>
          <w:szCs w:val="24"/>
          <w:vertAlign w:val="subscript"/>
        </w:rPr>
        <w:t>15</w:t>
      </w:r>
      <w:r w:rsidRPr="0064163E">
        <w:rPr>
          <w:rFonts w:ascii="Times New Roman" w:hAnsi="Times New Roman"/>
          <w:noProof/>
          <w:sz w:val="24"/>
          <w:szCs w:val="24"/>
        </w:rPr>
        <w:t xml:space="preserve"> </w:t>
      </w:r>
      <w:r w:rsidR="00A41BC7" w:rsidRPr="00A41BC7">
        <w:rPr>
          <w:rFonts w:ascii="Times New Roman" w:hAnsi="Times New Roman"/>
          <w:noProof/>
          <w:sz w:val="24"/>
          <w:szCs w:val="24"/>
        </w:rPr>
        <w:t>[</w:t>
      </w:r>
      <w:r w:rsidR="00FD7640">
        <w:rPr>
          <w:rFonts w:ascii="Times New Roman" w:hAnsi="Times New Roman"/>
          <w:noProof/>
          <w:sz w:val="24"/>
          <w:szCs w:val="24"/>
          <w:highlight w:val="yellow"/>
          <w:lang w:val="en-US"/>
        </w:rPr>
        <w:fldChar w:fldCharType="begin"/>
      </w:r>
      <w:r w:rsidR="00FD7640">
        <w:rPr>
          <w:rFonts w:ascii="Times New Roman" w:hAnsi="Times New Roman"/>
          <w:noProof/>
          <w:sz w:val="24"/>
          <w:szCs w:val="24"/>
        </w:rPr>
        <w:instrText xml:space="preserve"> REF _Ref520752439 \r \h </w:instrText>
      </w:r>
      <w:r w:rsidR="00FD7640">
        <w:rPr>
          <w:rFonts w:ascii="Times New Roman" w:hAnsi="Times New Roman"/>
          <w:noProof/>
          <w:sz w:val="24"/>
          <w:szCs w:val="24"/>
          <w:highlight w:val="yellow"/>
          <w:lang w:val="en-US"/>
        </w:rPr>
      </w:r>
      <w:r w:rsidR="00FD7640">
        <w:rPr>
          <w:rFonts w:ascii="Times New Roman" w:hAnsi="Times New Roman"/>
          <w:noProof/>
          <w:sz w:val="24"/>
          <w:szCs w:val="24"/>
          <w:highlight w:val="yellow"/>
          <w:lang w:val="en-US"/>
        </w:rPr>
        <w:fldChar w:fldCharType="separate"/>
      </w:r>
      <w:r w:rsidR="00FD7640">
        <w:rPr>
          <w:rFonts w:ascii="Times New Roman" w:hAnsi="Times New Roman"/>
          <w:noProof/>
          <w:sz w:val="24"/>
          <w:szCs w:val="24"/>
        </w:rPr>
        <w:t>16</w:t>
      </w:r>
      <w:r w:rsidR="00FD7640">
        <w:rPr>
          <w:rFonts w:ascii="Times New Roman" w:hAnsi="Times New Roman"/>
          <w:noProof/>
          <w:sz w:val="24"/>
          <w:szCs w:val="24"/>
          <w:highlight w:val="yellow"/>
          <w:lang w:val="en-US"/>
        </w:rPr>
        <w:fldChar w:fldCharType="end"/>
      </w:r>
      <w:r w:rsidR="00A41BC7" w:rsidRPr="00A41BC7">
        <w:rPr>
          <w:rFonts w:ascii="Times New Roman" w:hAnsi="Times New Roman"/>
          <w:noProof/>
          <w:sz w:val="24"/>
          <w:szCs w:val="24"/>
        </w:rPr>
        <w:t>]</w:t>
      </w:r>
      <w:r w:rsidR="0029709D" w:rsidRPr="0064163E">
        <w:rPr>
          <w:rFonts w:ascii="Times New Roman" w:hAnsi="Times New Roman"/>
          <w:noProof/>
          <w:sz w:val="24"/>
          <w:szCs w:val="24"/>
        </w:rPr>
        <w:t>.</w:t>
      </w:r>
    </w:p>
    <w:p w:rsidR="00AE7E59" w:rsidRPr="0064163E" w:rsidRDefault="0064163E" w:rsidP="0013745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163E">
        <w:rPr>
          <w:rFonts w:ascii="Times New Roman" w:hAnsi="Times New Roman" w:cs="Times New Roman"/>
          <w:b/>
          <w:color w:val="auto"/>
          <w:sz w:val="24"/>
          <w:szCs w:val="24"/>
        </w:rPr>
        <w:t>Результаты и обсуждение</w:t>
      </w:r>
    </w:p>
    <w:p w:rsidR="009000B4" w:rsidRPr="00AB4AE7" w:rsidRDefault="009000B4" w:rsidP="009000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 xml:space="preserve">Изученные почвы катены обладают всеми признаками и характеристиками, свойственными </w:t>
      </w:r>
      <w:r w:rsidR="0032420A">
        <w:rPr>
          <w:rFonts w:ascii="Times New Roman" w:hAnsi="Times New Roman" w:cs="Times New Roman"/>
          <w:sz w:val="24"/>
          <w:szCs w:val="24"/>
        </w:rPr>
        <w:t>дерново-подзолистым и подзолистым почвам</w:t>
      </w:r>
      <w:r w:rsidR="0080342D" w:rsidRPr="00AB4AE7">
        <w:rPr>
          <w:rFonts w:ascii="Times New Roman" w:hAnsi="Times New Roman" w:cs="Times New Roman"/>
          <w:sz w:val="24"/>
          <w:szCs w:val="24"/>
        </w:rPr>
        <w:t xml:space="preserve"> </w:t>
      </w:r>
      <w:r w:rsidRPr="00AB4AE7">
        <w:rPr>
          <w:rFonts w:ascii="Times New Roman" w:hAnsi="Times New Roman" w:cs="Times New Roman"/>
          <w:sz w:val="24"/>
          <w:szCs w:val="24"/>
        </w:rPr>
        <w:t>таежных ландшафтов Восточно-Европейской равнины: имеют суглинистый состав, элювиально-иллювиальн</w:t>
      </w:r>
      <w:r w:rsidR="002957DD">
        <w:rPr>
          <w:rFonts w:ascii="Times New Roman" w:hAnsi="Times New Roman" w:cs="Times New Roman"/>
          <w:sz w:val="24"/>
          <w:szCs w:val="24"/>
        </w:rPr>
        <w:t>ое распределение</w:t>
      </w:r>
      <w:r w:rsidRPr="00AB4AE7">
        <w:rPr>
          <w:rFonts w:ascii="Times New Roman" w:hAnsi="Times New Roman" w:cs="Times New Roman"/>
          <w:sz w:val="24"/>
          <w:szCs w:val="24"/>
        </w:rPr>
        <w:t xml:space="preserve"> величины рН; в них хорошо различимы </w:t>
      </w:r>
      <w:r w:rsidR="0064163E">
        <w:rPr>
          <w:rFonts w:ascii="Times New Roman" w:hAnsi="Times New Roman" w:cs="Times New Roman"/>
          <w:sz w:val="24"/>
          <w:szCs w:val="24"/>
        </w:rPr>
        <w:t>элювиальный (А2) и текстурный (</w:t>
      </w:r>
      <w:r w:rsidR="0064163E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="0064163E">
        <w:rPr>
          <w:rFonts w:ascii="Times New Roman" w:hAnsi="Times New Roman" w:cs="Times New Roman"/>
          <w:sz w:val="24"/>
          <w:szCs w:val="24"/>
        </w:rPr>
        <w:t xml:space="preserve">) </w:t>
      </w:r>
      <w:r w:rsidRPr="00AB4AE7">
        <w:rPr>
          <w:rFonts w:ascii="Times New Roman" w:hAnsi="Times New Roman" w:cs="Times New Roman"/>
          <w:sz w:val="24"/>
          <w:szCs w:val="24"/>
        </w:rPr>
        <w:t>горизонты.</w:t>
      </w:r>
    </w:p>
    <w:p w:rsidR="00AE7E59" w:rsidRPr="00AB4AE7" w:rsidRDefault="0080342D" w:rsidP="00A22EE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>Во всех почвах хорошо выражена текстурная дифференциация профиля. По гранулометрическому соста</w:t>
      </w:r>
      <w:r w:rsidR="00A22EE5" w:rsidRPr="00AB4AE7">
        <w:rPr>
          <w:rFonts w:ascii="Times New Roman" w:hAnsi="Times New Roman" w:cs="Times New Roman"/>
          <w:sz w:val="24"/>
          <w:szCs w:val="24"/>
        </w:rPr>
        <w:t xml:space="preserve">ву они относятся к суглинистым: </w:t>
      </w:r>
      <w:r w:rsidRPr="00AB4AE7">
        <w:rPr>
          <w:rFonts w:ascii="Times New Roman" w:hAnsi="Times New Roman" w:cs="Times New Roman"/>
          <w:sz w:val="24"/>
          <w:szCs w:val="24"/>
        </w:rPr>
        <w:t xml:space="preserve">содержат более 10% частиц размером менее </w:t>
      </w:r>
      <w:r w:rsidR="00A22EE5" w:rsidRPr="00AB4AE7">
        <w:rPr>
          <w:rFonts w:ascii="Times New Roman" w:hAnsi="Times New Roman" w:cs="Times New Roman"/>
          <w:sz w:val="24"/>
          <w:szCs w:val="24"/>
        </w:rPr>
        <w:t>10</w:t>
      </w:r>
      <w:r w:rsidRPr="00AB4AE7">
        <w:rPr>
          <w:rFonts w:ascii="Times New Roman" w:hAnsi="Times New Roman" w:cs="Times New Roman"/>
          <w:sz w:val="24"/>
          <w:szCs w:val="24"/>
        </w:rPr>
        <w:t xml:space="preserve"> мкм. </w:t>
      </w:r>
      <w:r w:rsidR="0064163E">
        <w:rPr>
          <w:rFonts w:ascii="Times New Roman" w:hAnsi="Times New Roman" w:cs="Times New Roman"/>
          <w:sz w:val="24"/>
          <w:szCs w:val="24"/>
        </w:rPr>
        <w:t>Элювиальный г</w:t>
      </w:r>
      <w:r w:rsidRPr="00AB4AE7">
        <w:rPr>
          <w:rFonts w:ascii="Times New Roman" w:hAnsi="Times New Roman" w:cs="Times New Roman"/>
          <w:sz w:val="24"/>
          <w:szCs w:val="24"/>
        </w:rPr>
        <w:t xml:space="preserve">оризонт обогащен пылеватыми фракциями. </w:t>
      </w:r>
      <w:r w:rsidR="00A22EE5" w:rsidRPr="00AB4AE7">
        <w:rPr>
          <w:rFonts w:ascii="Times New Roman" w:hAnsi="Times New Roman" w:cs="Times New Roman"/>
          <w:sz w:val="24"/>
          <w:szCs w:val="24"/>
        </w:rPr>
        <w:t>П</w:t>
      </w:r>
      <w:r w:rsidRPr="00AB4AE7">
        <w:rPr>
          <w:rFonts w:ascii="Times New Roman" w:hAnsi="Times New Roman" w:cs="Times New Roman"/>
          <w:sz w:val="24"/>
          <w:szCs w:val="24"/>
        </w:rPr>
        <w:t>очв</w:t>
      </w:r>
      <w:r w:rsidR="00A22EE5" w:rsidRPr="00AB4AE7">
        <w:rPr>
          <w:rFonts w:ascii="Times New Roman" w:hAnsi="Times New Roman" w:cs="Times New Roman"/>
          <w:sz w:val="24"/>
          <w:szCs w:val="24"/>
        </w:rPr>
        <w:t>ы</w:t>
      </w:r>
      <w:r w:rsidRPr="00AB4AE7">
        <w:rPr>
          <w:rFonts w:ascii="Times New Roman" w:hAnsi="Times New Roman" w:cs="Times New Roman"/>
          <w:sz w:val="24"/>
          <w:szCs w:val="24"/>
        </w:rPr>
        <w:t xml:space="preserve"> очень контрастно дифференцированы по содержанию илистой фракции, что обусловлено не только кислотным гидролизом, но и</w:t>
      </w:r>
      <w:r w:rsidR="00A22EE5" w:rsidRPr="00AB4AE7">
        <w:rPr>
          <w:rFonts w:ascii="Times New Roman" w:hAnsi="Times New Roman" w:cs="Times New Roman"/>
          <w:sz w:val="24"/>
          <w:szCs w:val="24"/>
        </w:rPr>
        <w:t xml:space="preserve"> их</w:t>
      </w:r>
      <w:r w:rsidRPr="00AB4AE7">
        <w:rPr>
          <w:rFonts w:ascii="Times New Roman" w:hAnsi="Times New Roman" w:cs="Times New Roman"/>
          <w:sz w:val="24"/>
          <w:szCs w:val="24"/>
        </w:rPr>
        <w:t xml:space="preserve"> развитием на двучленных отложениях. </w:t>
      </w:r>
      <w:r w:rsidRPr="00AB4AE7">
        <w:rPr>
          <w:rFonts w:ascii="Times New Roman" w:eastAsia="Times New Roman" w:hAnsi="Times New Roman"/>
          <w:sz w:val="24"/>
          <w:szCs w:val="24"/>
        </w:rPr>
        <w:t>В изученных почвах</w:t>
      </w:r>
      <w:r w:rsidR="002957DD">
        <w:rPr>
          <w:rFonts w:ascii="Times New Roman" w:eastAsia="Times New Roman" w:hAnsi="Times New Roman"/>
          <w:sz w:val="24"/>
          <w:szCs w:val="24"/>
        </w:rPr>
        <w:t xml:space="preserve"> велиична</w:t>
      </w:r>
      <w:r w:rsidRPr="00AB4AE7">
        <w:rPr>
          <w:rFonts w:ascii="Times New Roman" w:eastAsia="Times New Roman" w:hAnsi="Times New Roman"/>
          <w:sz w:val="24"/>
          <w:szCs w:val="24"/>
        </w:rPr>
        <w:t xml:space="preserve"> рН варьирует от 4,4 до 8,2, нейтральная и слабощелочная реакция которых </w:t>
      </w:r>
      <w:r w:rsidRPr="00AB4AE7">
        <w:rPr>
          <w:rFonts w:ascii="Times New Roman" w:eastAsia="Times New Roman" w:hAnsi="Times New Roman"/>
          <w:sz w:val="24"/>
          <w:szCs w:val="24"/>
        </w:rPr>
        <w:lastRenderedPageBreak/>
        <w:t xml:space="preserve">обусловлена карбонатностью почвообразующих пород. Содержание углерода органических веществ в профилях почв резко падает с глубиной, что типично для почв таежной зоны </w:t>
      </w:r>
      <w:r w:rsidR="00A41BC7" w:rsidRPr="00A41BC7">
        <w:rPr>
          <w:rFonts w:ascii="Times New Roman" w:eastAsia="Times New Roman" w:hAnsi="Times New Roman"/>
          <w:sz w:val="24"/>
          <w:szCs w:val="24"/>
        </w:rPr>
        <w:t>[</w:t>
      </w:r>
      <w:r w:rsidR="00FD7640">
        <w:rPr>
          <w:rFonts w:ascii="Times New Roman" w:eastAsia="Times New Roman" w:hAnsi="Times New Roman"/>
          <w:sz w:val="24"/>
          <w:szCs w:val="24"/>
          <w:highlight w:val="yellow"/>
        </w:rPr>
        <w:fldChar w:fldCharType="begin"/>
      </w:r>
      <w:r w:rsidR="00FD7640">
        <w:rPr>
          <w:rFonts w:ascii="Times New Roman" w:eastAsia="Times New Roman" w:hAnsi="Times New Roman"/>
          <w:sz w:val="24"/>
          <w:szCs w:val="24"/>
        </w:rPr>
        <w:instrText xml:space="preserve"> REF _Ref520752447 \r \h </w:instrText>
      </w:r>
      <w:r w:rsidR="00FD7640">
        <w:rPr>
          <w:rFonts w:ascii="Times New Roman" w:eastAsia="Times New Roman" w:hAnsi="Times New Roman"/>
          <w:sz w:val="24"/>
          <w:szCs w:val="24"/>
          <w:highlight w:val="yellow"/>
        </w:rPr>
      </w:r>
      <w:r w:rsidR="00FD7640">
        <w:rPr>
          <w:rFonts w:ascii="Times New Roman" w:eastAsia="Times New Roman" w:hAnsi="Times New Roman"/>
          <w:sz w:val="24"/>
          <w:szCs w:val="24"/>
          <w:highlight w:val="yellow"/>
        </w:rPr>
        <w:fldChar w:fldCharType="separate"/>
      </w:r>
      <w:r w:rsidR="00FD7640">
        <w:rPr>
          <w:rFonts w:ascii="Times New Roman" w:eastAsia="Times New Roman" w:hAnsi="Times New Roman"/>
          <w:sz w:val="24"/>
          <w:szCs w:val="24"/>
        </w:rPr>
        <w:t>17</w:t>
      </w:r>
      <w:r w:rsidR="00FD7640">
        <w:rPr>
          <w:rFonts w:ascii="Times New Roman" w:eastAsia="Times New Roman" w:hAnsi="Times New Roman"/>
          <w:sz w:val="24"/>
          <w:szCs w:val="24"/>
          <w:highlight w:val="yellow"/>
        </w:rPr>
        <w:fldChar w:fldCharType="end"/>
      </w:r>
      <w:r w:rsidR="00A41BC7" w:rsidRPr="00A41BC7">
        <w:rPr>
          <w:rFonts w:ascii="Times New Roman" w:eastAsia="Times New Roman" w:hAnsi="Times New Roman"/>
          <w:sz w:val="24"/>
          <w:szCs w:val="24"/>
        </w:rPr>
        <w:t>]</w:t>
      </w:r>
      <w:r w:rsidRPr="00AB4AE7">
        <w:rPr>
          <w:rFonts w:ascii="Times New Roman" w:eastAsia="Times New Roman" w:hAnsi="Times New Roman"/>
          <w:sz w:val="24"/>
          <w:szCs w:val="24"/>
        </w:rPr>
        <w:t>.</w:t>
      </w:r>
    </w:p>
    <w:p w:rsidR="00A22EE5" w:rsidRPr="00AB4AE7" w:rsidRDefault="00A22EE5" w:rsidP="00A22EE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 xml:space="preserve">Почвы южнотаежной катены содержат околокларковые уровни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AB4AE7">
        <w:rPr>
          <w:rFonts w:ascii="Times New Roman" w:hAnsi="Times New Roman" w:cs="Times New Roman"/>
          <w:sz w:val="24"/>
          <w:szCs w:val="24"/>
        </w:rPr>
        <w:t xml:space="preserve"> и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Zr</w:t>
      </w:r>
      <w:r w:rsidRPr="00AB4AE7">
        <w:rPr>
          <w:rFonts w:ascii="Times New Roman" w:hAnsi="Times New Roman" w:cs="Times New Roman"/>
          <w:sz w:val="24"/>
          <w:szCs w:val="24"/>
        </w:rPr>
        <w:t xml:space="preserve"> и пониженные – Co, Cu, Fe и Zn (</w:t>
      </w:r>
      <w:r w:rsidR="002957DD">
        <w:rPr>
          <w:rFonts w:ascii="Times New Roman" w:hAnsi="Times New Roman" w:cs="Times New Roman"/>
          <w:sz w:val="24"/>
          <w:szCs w:val="24"/>
        </w:rPr>
        <w:t xml:space="preserve">кларк рассеяния равен </w:t>
      </w:r>
      <w:r w:rsidRPr="00AB4AE7">
        <w:rPr>
          <w:rFonts w:ascii="Times New Roman" w:hAnsi="Times New Roman" w:cs="Times New Roman"/>
          <w:sz w:val="24"/>
          <w:szCs w:val="24"/>
        </w:rPr>
        <w:t xml:space="preserve">2), Ni, Sr (3) и Cr (5), что, вероятно, объясняется их формированием на валдайских покровных суглинках, обедненных микроэлементами в результате седиментогенеза. Коэффициент вариации в пределах общей выборки данных составляет 24 – 48% для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B4AE7">
        <w:rPr>
          <w:rFonts w:ascii="Times New Roman" w:hAnsi="Times New Roman" w:cs="Times New Roman"/>
          <w:sz w:val="24"/>
          <w:szCs w:val="24"/>
        </w:rPr>
        <w:t xml:space="preserve">,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Zr</w:t>
      </w:r>
      <w:r w:rsidRPr="00AB4AE7">
        <w:rPr>
          <w:rFonts w:ascii="Times New Roman" w:hAnsi="Times New Roman" w:cs="Times New Roman"/>
          <w:sz w:val="24"/>
          <w:szCs w:val="24"/>
        </w:rPr>
        <w:t xml:space="preserve">, повышаясь до 68% для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AB4AE7">
        <w:rPr>
          <w:rFonts w:ascii="Times New Roman" w:hAnsi="Times New Roman" w:cs="Times New Roman"/>
          <w:sz w:val="24"/>
          <w:szCs w:val="24"/>
        </w:rPr>
        <w:t xml:space="preserve"> и понижаясь до 15% у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AB4AE7">
        <w:rPr>
          <w:rFonts w:ascii="Times New Roman" w:hAnsi="Times New Roman" w:cs="Times New Roman"/>
          <w:sz w:val="24"/>
          <w:szCs w:val="24"/>
        </w:rPr>
        <w:t xml:space="preserve"> и </w:t>
      </w:r>
      <w:r w:rsidRPr="00AB4AE7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905AC8">
        <w:rPr>
          <w:rFonts w:ascii="Times New Roman" w:hAnsi="Times New Roman" w:cs="Times New Roman"/>
          <w:sz w:val="24"/>
          <w:szCs w:val="24"/>
        </w:rPr>
        <w:t xml:space="preserve"> (</w:t>
      </w:r>
      <w:r w:rsidR="00905AC8">
        <w:rPr>
          <w:rFonts w:ascii="Times New Roman" w:hAnsi="Times New Roman" w:cs="Times New Roman"/>
          <w:sz w:val="24"/>
          <w:szCs w:val="24"/>
        </w:rPr>
        <w:fldChar w:fldCharType="begin"/>
      </w:r>
      <w:r w:rsidR="00905AC8">
        <w:rPr>
          <w:rFonts w:ascii="Times New Roman" w:hAnsi="Times New Roman" w:cs="Times New Roman"/>
          <w:sz w:val="24"/>
          <w:szCs w:val="24"/>
        </w:rPr>
        <w:instrText xml:space="preserve"> REF _Ref513825085 \h </w:instrText>
      </w:r>
      <w:r w:rsidR="00905AC8">
        <w:rPr>
          <w:rFonts w:ascii="Times New Roman" w:hAnsi="Times New Roman" w:cs="Times New Roman"/>
          <w:sz w:val="24"/>
          <w:szCs w:val="24"/>
        </w:rPr>
      </w:r>
      <w:r w:rsidR="00905AC8">
        <w:rPr>
          <w:rFonts w:ascii="Times New Roman" w:hAnsi="Times New Roman" w:cs="Times New Roman"/>
          <w:sz w:val="24"/>
          <w:szCs w:val="24"/>
        </w:rPr>
        <w:fldChar w:fldCharType="separate"/>
      </w:r>
      <w:r w:rsidR="00905AC8" w:rsidRPr="00AB4AE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5AC8">
        <w:rPr>
          <w:rFonts w:ascii="Times New Roman" w:hAnsi="Times New Roman" w:cs="Times New Roman"/>
          <w:noProof/>
          <w:sz w:val="24"/>
          <w:szCs w:val="24"/>
        </w:rPr>
        <w:t>1</w:t>
      </w:r>
      <w:r w:rsidR="00905AC8">
        <w:rPr>
          <w:rFonts w:ascii="Times New Roman" w:hAnsi="Times New Roman" w:cs="Times New Roman"/>
          <w:sz w:val="24"/>
          <w:szCs w:val="24"/>
        </w:rPr>
        <w:fldChar w:fldCharType="end"/>
      </w:r>
      <w:r w:rsidR="00905AC8">
        <w:rPr>
          <w:rFonts w:ascii="Times New Roman" w:hAnsi="Times New Roman" w:cs="Times New Roman"/>
          <w:sz w:val="24"/>
          <w:szCs w:val="24"/>
        </w:rPr>
        <w:t>)</w:t>
      </w:r>
      <w:r w:rsidRPr="00AB4AE7">
        <w:rPr>
          <w:rFonts w:ascii="Times New Roman" w:hAnsi="Times New Roman" w:cs="Times New Roman"/>
          <w:sz w:val="24"/>
          <w:szCs w:val="24"/>
        </w:rPr>
        <w:t>.</w:t>
      </w:r>
    </w:p>
    <w:p w:rsidR="00A22EE5" w:rsidRPr="00AB4AE7" w:rsidRDefault="00A22EE5" w:rsidP="00885C7B">
      <w:pPr>
        <w:pStyle w:val="a5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Ref513825085"/>
      <w:r w:rsidRPr="00AB4AE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AB4AE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B4AE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AB4AE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05AC8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AB4AE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</w:p>
    <w:p w:rsidR="00A22EE5" w:rsidRPr="00AB4AE7" w:rsidRDefault="00A22EE5" w:rsidP="00885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>Среднее валовое содержание металлов в горизонтах почв южнотаежной катены</w:t>
      </w:r>
      <w:r w:rsidR="00885C7B" w:rsidRPr="00AB4AE7">
        <w:rPr>
          <w:rFonts w:ascii="Times New Roman" w:hAnsi="Times New Roman" w:cs="Times New Roman"/>
          <w:sz w:val="24"/>
          <w:szCs w:val="24"/>
        </w:rPr>
        <w:t>, мг/кг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595"/>
        <w:gridCol w:w="603"/>
        <w:gridCol w:w="595"/>
        <w:gridCol w:w="759"/>
        <w:gridCol w:w="1032"/>
        <w:gridCol w:w="595"/>
        <w:gridCol w:w="579"/>
        <w:gridCol w:w="837"/>
        <w:gridCol w:w="708"/>
        <w:gridCol w:w="833"/>
        <w:gridCol w:w="639"/>
      </w:tblGrid>
      <w:tr w:rsidR="00AB4AE7" w:rsidRPr="00AB4AE7" w:rsidTr="0037230E">
        <w:trPr>
          <w:trHeight w:val="264"/>
          <w:tblHeader/>
        </w:trPr>
        <w:tc>
          <w:tcPr>
            <w:tcW w:w="1630" w:type="dxa"/>
            <w:shd w:val="clear" w:color="auto" w:fill="auto"/>
            <w:hideMark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595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603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95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759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885C7B" w:rsidRPr="00AB4A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2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95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9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837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08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833" w:type="dxa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0" w:type="auto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22EE5" w:rsidRPr="00EF536A" w:rsidRDefault="00EF536A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</w:t>
            </w:r>
          </w:p>
        </w:tc>
        <w:tc>
          <w:tcPr>
            <w:tcW w:w="60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75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1756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57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773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22EE5" w:rsidRPr="00EF536A" w:rsidRDefault="00EF536A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4,5</w:t>
            </w:r>
          </w:p>
        </w:tc>
        <w:tc>
          <w:tcPr>
            <w:tcW w:w="60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75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482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57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3345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292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22EE5" w:rsidRPr="00EF536A" w:rsidRDefault="00EF536A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6,9</w:t>
            </w:r>
          </w:p>
        </w:tc>
        <w:tc>
          <w:tcPr>
            <w:tcW w:w="60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75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1,5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576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57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3488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22EE5" w:rsidRPr="00EF536A" w:rsidRDefault="00EF536A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Bt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8,4</w:t>
            </w:r>
          </w:p>
        </w:tc>
        <w:tc>
          <w:tcPr>
            <w:tcW w:w="60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75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1,5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685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57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3064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22EE5" w:rsidRPr="00FD7640" w:rsidRDefault="00EF536A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Cca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9,0</w:t>
            </w:r>
          </w:p>
        </w:tc>
        <w:tc>
          <w:tcPr>
            <w:tcW w:w="60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75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1,6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650</w:t>
            </w:r>
          </w:p>
        </w:tc>
        <w:tc>
          <w:tcPr>
            <w:tcW w:w="595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579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2733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EE5" w:rsidRPr="00FD7640" w:rsidRDefault="00A22EE5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A22EE5" w:rsidRPr="00AB4AE7" w:rsidRDefault="00A22EE5" w:rsidP="00885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4AE7" w:rsidRPr="00AB4AE7" w:rsidTr="0037230E">
        <w:trPr>
          <w:trHeight w:val="264"/>
        </w:trPr>
        <w:tc>
          <w:tcPr>
            <w:tcW w:w="16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22EE5" w:rsidRPr="00FD7640" w:rsidRDefault="00A22EE5" w:rsidP="00885C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данные</w:t>
            </w:r>
            <w:r w:rsidR="001A798D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BC7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FD7640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D7640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_Ref520752454 \r \h </w:instrText>
            </w:r>
            <w:r w:rsid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="00FD7640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D7640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FD7640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7640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41BC7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3–23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5–140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5–60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0,8–4,6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100–2300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7–90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5–33</w:t>
            </w:r>
          </w:p>
        </w:tc>
        <w:tc>
          <w:tcPr>
            <w:tcW w:w="837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50–400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30–100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22EE5" w:rsidRPr="00AB4AE7" w:rsidRDefault="00A22EE5" w:rsidP="00885C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85C7B" w:rsidRPr="00AB4AE7" w:rsidRDefault="00885C7B" w:rsidP="00885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>* в %.</w:t>
      </w:r>
      <w:r w:rsidR="00905AC8">
        <w:rPr>
          <w:rFonts w:ascii="Times New Roman" w:hAnsi="Times New Roman" w:cs="Times New Roman"/>
          <w:sz w:val="24"/>
          <w:szCs w:val="24"/>
        </w:rPr>
        <w:t xml:space="preserve"> Числитель – среднее, знаменатель – коэффициент вариации</w:t>
      </w:r>
    </w:p>
    <w:p w:rsidR="00A22EE5" w:rsidRPr="00AB4AE7" w:rsidRDefault="00885C7B" w:rsidP="00A22EE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>С</w:t>
      </w:r>
      <w:r w:rsidR="00A22EE5" w:rsidRPr="00AB4AE7">
        <w:rPr>
          <w:rFonts w:ascii="Times New Roman" w:hAnsi="Times New Roman" w:cs="Times New Roman"/>
          <w:sz w:val="24"/>
          <w:szCs w:val="24"/>
        </w:rPr>
        <w:t xml:space="preserve">одержание обменных соединений Co, Cr, Cu, Ni Sr, Zn соответствует разбросу средних значений, свойственному фоновым уровням для подзолистых и дерново-подзолистых почв </w:t>
      </w:r>
      <w:r w:rsidR="00AA0B3B">
        <w:rPr>
          <w:rFonts w:ascii="Times New Roman" w:hAnsi="Times New Roman" w:cs="Times New Roman"/>
          <w:sz w:val="24"/>
          <w:szCs w:val="24"/>
        </w:rPr>
        <w:t xml:space="preserve">мира </w:t>
      </w:r>
      <w:r w:rsidR="00A41BC7" w:rsidRPr="00A41BC7">
        <w:rPr>
          <w:rFonts w:ascii="Times New Roman" w:hAnsi="Times New Roman" w:cs="Times New Roman"/>
          <w:sz w:val="24"/>
          <w:szCs w:val="24"/>
        </w:rPr>
        <w:t>[</w: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FD7640">
        <w:rPr>
          <w:rFonts w:ascii="Times New Roman" w:hAnsi="Times New Roman" w:cs="Times New Roman"/>
          <w:sz w:val="24"/>
          <w:szCs w:val="24"/>
        </w:rPr>
        <w:instrText xml:space="preserve"> REF _Ref520752454 \r \h </w:instrTex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FD7640">
        <w:rPr>
          <w:rFonts w:ascii="Times New Roman" w:hAnsi="Times New Roman" w:cs="Times New Roman"/>
          <w:sz w:val="24"/>
          <w:szCs w:val="24"/>
        </w:rPr>
        <w:t>18</w: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A41BC7" w:rsidRPr="00A41BC7">
        <w:rPr>
          <w:rFonts w:ascii="Times New Roman" w:hAnsi="Times New Roman" w:cs="Times New Roman"/>
          <w:sz w:val="24"/>
          <w:szCs w:val="24"/>
        </w:rPr>
        <w:t>]</w:t>
      </w:r>
      <w:r w:rsidR="00A22EE5" w:rsidRPr="00AB4AE7">
        <w:rPr>
          <w:rFonts w:ascii="Times New Roman" w:hAnsi="Times New Roman" w:cs="Times New Roman"/>
          <w:sz w:val="24"/>
          <w:szCs w:val="24"/>
        </w:rPr>
        <w:t xml:space="preserve">. Повышенные значения обнаружены для Fe, Mn, Pb, что, вероятно, объясняется оглеенностью почв и переходом элементов с переменной валентностью в подвижную форму. По вариабельности содержания в общей для всех разрезов выборке металлы образуют следующий ряд: Mn (253%)&gt; Ti, Zn (177-176) &gt; Co, Sr, Pb, Zr, Fe (153-105) &gt; Cu, Ni, Cr (74-64). </w:t>
      </w:r>
    </w:p>
    <w:p w:rsidR="00A22EE5" w:rsidRPr="00AB4AE7" w:rsidRDefault="00A22EE5" w:rsidP="00A22EE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>Содержание комплексных соединений большинства металлов (Co, Cr, Cu, Ni, Pb, Zn) соответствует литературным данным</w:t>
      </w:r>
      <w:r w:rsidR="00137060" w:rsidRPr="00AB4AE7">
        <w:rPr>
          <w:rFonts w:ascii="Times New Roman" w:hAnsi="Times New Roman" w:cs="Times New Roman"/>
          <w:sz w:val="24"/>
          <w:szCs w:val="24"/>
        </w:rPr>
        <w:t xml:space="preserve"> </w:t>
      </w:r>
      <w:r w:rsidR="00A41BC7" w:rsidRPr="00A41BC7">
        <w:rPr>
          <w:rFonts w:ascii="Times New Roman" w:hAnsi="Times New Roman" w:cs="Times New Roman"/>
          <w:sz w:val="24"/>
          <w:szCs w:val="24"/>
        </w:rPr>
        <w:t>[</w: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FD7640">
        <w:rPr>
          <w:rFonts w:ascii="Times New Roman" w:hAnsi="Times New Roman" w:cs="Times New Roman"/>
          <w:sz w:val="24"/>
          <w:szCs w:val="24"/>
        </w:rPr>
        <w:instrText xml:space="preserve"> REF _Ref520752454 \r \h </w:instrTex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FD7640">
        <w:rPr>
          <w:rFonts w:ascii="Times New Roman" w:hAnsi="Times New Roman" w:cs="Times New Roman"/>
          <w:sz w:val="24"/>
          <w:szCs w:val="24"/>
        </w:rPr>
        <w:t>18</w: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A41BC7" w:rsidRPr="00A41BC7">
        <w:rPr>
          <w:rFonts w:ascii="Times New Roman" w:hAnsi="Times New Roman" w:cs="Times New Roman"/>
          <w:sz w:val="24"/>
          <w:szCs w:val="24"/>
        </w:rPr>
        <w:t>]</w:t>
      </w:r>
      <w:r w:rsidRPr="00AB4AE7">
        <w:rPr>
          <w:rFonts w:ascii="Times New Roman" w:hAnsi="Times New Roman" w:cs="Times New Roman"/>
          <w:sz w:val="24"/>
          <w:szCs w:val="24"/>
        </w:rPr>
        <w:t>, Fe – превосходит типичные уровни, а Mn – ниже приводимого в опубликованных данных разброса. По вариабельности содержания этих соединений в выборке всех разрезов металлы образуют ряд: Cr(296), Sr(289), Zn(266)&gt; Fe(158) &gt; Ni(124), Pb(123), Cu(112), Mn(103) &gt; Co(85), Zr(80), Ti(72).</w:t>
      </w:r>
    </w:p>
    <w:p w:rsidR="00A22EE5" w:rsidRPr="00AB4AE7" w:rsidRDefault="00A22EE5" w:rsidP="00A22EE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 xml:space="preserve">Содержание сорбированных гидроксидами Fe и Mn соединений Cu, Mn, Ni, Pb, Sr соответствует разбросу средних значений, свойственному фоновым значениям </w:t>
      </w:r>
      <w:r w:rsidR="00A41BC7" w:rsidRPr="00A41BC7">
        <w:rPr>
          <w:rFonts w:ascii="Times New Roman" w:hAnsi="Times New Roman" w:cs="Times New Roman"/>
          <w:sz w:val="24"/>
          <w:szCs w:val="24"/>
        </w:rPr>
        <w:t>[</w: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FD7640">
        <w:rPr>
          <w:rFonts w:ascii="Times New Roman" w:hAnsi="Times New Roman" w:cs="Times New Roman"/>
          <w:sz w:val="24"/>
          <w:szCs w:val="24"/>
        </w:rPr>
        <w:instrText xml:space="preserve"> REF _Ref520752454 \r \h </w:instrTex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FD7640">
        <w:rPr>
          <w:rFonts w:ascii="Times New Roman" w:hAnsi="Times New Roman" w:cs="Times New Roman"/>
          <w:sz w:val="24"/>
          <w:szCs w:val="24"/>
        </w:rPr>
        <w:t>18</w:t>
      </w:r>
      <w:r w:rsidR="00FD7640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A41BC7" w:rsidRPr="006F6167">
        <w:rPr>
          <w:rFonts w:ascii="Times New Roman" w:hAnsi="Times New Roman" w:cs="Times New Roman"/>
          <w:sz w:val="24"/>
          <w:szCs w:val="24"/>
        </w:rPr>
        <w:t>]</w:t>
      </w:r>
      <w:r w:rsidRPr="00AB4AE7">
        <w:rPr>
          <w:rFonts w:ascii="Times New Roman" w:hAnsi="Times New Roman" w:cs="Times New Roman"/>
          <w:sz w:val="24"/>
          <w:szCs w:val="24"/>
        </w:rPr>
        <w:t>. Пониженные значения обнаружены для Co, Сr, Fe и Zn, что, вероятно, связано с развитием почв на валдайских суглинках, обедненных по валовому содержанию этими элементами. По вариабельности сорбированных содержаний в выборке всех разрезов металлы образуют ряд: Mn(Cv=138%), Sr(116) &gt; Pb(93), Zn(87) &gt; Co(74), Zr(69), Ni(63), Ti(60) &gt; Fe, Cu(50) &gt; Cr(39).</w:t>
      </w:r>
    </w:p>
    <w:p w:rsidR="003F464F" w:rsidRPr="00AB4AE7" w:rsidRDefault="003F464F" w:rsidP="003F464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>В верхних горизонтах</w:t>
      </w:r>
      <w:r w:rsidR="0032420A" w:rsidRPr="0032420A">
        <w:rPr>
          <w:rFonts w:ascii="Times New Roman" w:hAnsi="Times New Roman" w:cs="Times New Roman"/>
          <w:sz w:val="24"/>
          <w:szCs w:val="24"/>
        </w:rPr>
        <w:t xml:space="preserve"> (</w:t>
      </w:r>
      <w:r w:rsidR="0032420A">
        <w:rPr>
          <w:rFonts w:ascii="Times New Roman" w:hAnsi="Times New Roman" w:cs="Times New Roman"/>
          <w:sz w:val="24"/>
          <w:szCs w:val="24"/>
        </w:rPr>
        <w:t>А0 и А1</w:t>
      </w:r>
      <w:r w:rsidR="0032420A" w:rsidRPr="0032420A">
        <w:rPr>
          <w:rFonts w:ascii="Times New Roman" w:hAnsi="Times New Roman" w:cs="Times New Roman"/>
          <w:sz w:val="24"/>
          <w:szCs w:val="24"/>
        </w:rPr>
        <w:t>)</w:t>
      </w:r>
      <w:r w:rsidRPr="00AB4AE7">
        <w:rPr>
          <w:rFonts w:ascii="Times New Roman" w:hAnsi="Times New Roman" w:cs="Times New Roman"/>
          <w:sz w:val="24"/>
          <w:szCs w:val="24"/>
        </w:rPr>
        <w:t xml:space="preserve"> изученных </w:t>
      </w:r>
      <w:r w:rsidR="00055594">
        <w:rPr>
          <w:rFonts w:ascii="Times New Roman" w:hAnsi="Times New Roman" w:cs="Times New Roman"/>
          <w:sz w:val="24"/>
          <w:szCs w:val="24"/>
        </w:rPr>
        <w:t>подзолистых и дерново-подзолистых почвах</w:t>
      </w:r>
      <w:r w:rsidRPr="00AB4AE7">
        <w:rPr>
          <w:rFonts w:ascii="Times New Roman" w:hAnsi="Times New Roman" w:cs="Times New Roman"/>
          <w:sz w:val="24"/>
          <w:szCs w:val="24"/>
        </w:rPr>
        <w:t xml:space="preserve"> относительно почвообразующей породы повышено валовое содержание Pb и Zr, обменных соединений Co, Fe, Mn, Pb и Zn, комплексных – Cu, Fe, Pb и Zn, а также сорбированных гидроксидами Fe и Mn соединений Pb. Пониженное содержание в горизонте </w:t>
      </w:r>
      <w:r w:rsidR="00055594">
        <w:rPr>
          <w:rFonts w:ascii="Times New Roman" w:hAnsi="Times New Roman" w:cs="Times New Roman"/>
          <w:sz w:val="24"/>
          <w:szCs w:val="24"/>
        </w:rPr>
        <w:t>А2</w:t>
      </w:r>
      <w:r w:rsidRPr="00AB4AE7">
        <w:rPr>
          <w:rFonts w:ascii="Times New Roman" w:hAnsi="Times New Roman" w:cs="Times New Roman"/>
          <w:sz w:val="24"/>
          <w:szCs w:val="24"/>
        </w:rPr>
        <w:t xml:space="preserve"> и/или повышенное в </w:t>
      </w:r>
      <w:r w:rsidR="00055594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AB4AE7">
        <w:rPr>
          <w:rFonts w:ascii="Times New Roman" w:hAnsi="Times New Roman" w:cs="Times New Roman"/>
          <w:sz w:val="24"/>
          <w:szCs w:val="24"/>
        </w:rPr>
        <w:t xml:space="preserve"> обнаружено для валового содержания Co, Fe, Ni, Sr и Zn, обменных Co, Cr, </w:t>
      </w:r>
      <w:r w:rsidRPr="00AB4AE7">
        <w:rPr>
          <w:rFonts w:ascii="Times New Roman" w:hAnsi="Times New Roman" w:cs="Times New Roman"/>
          <w:sz w:val="24"/>
          <w:szCs w:val="24"/>
        </w:rPr>
        <w:lastRenderedPageBreak/>
        <w:t>Cu, Mn, Pb, Zn и Zr, комплексных соединений Co, Cr, Cu, Fe, Mn, Ni, Pb, Zn и Zr, а также сорбированных Co, Cr, Cu, Ti, Zn и Zr.</w:t>
      </w:r>
    </w:p>
    <w:p w:rsidR="003F464F" w:rsidRPr="00AB4AE7" w:rsidRDefault="003F464F" w:rsidP="003F464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>В латеральной дифференциации в гумусовом горизонте дерново-подзолистых почв южнотаежной катены повышено валовое содержание Co, Cr, Cu, Fe, Mn, Ni, Pb, Sr, Ti, Zn и Zr. В гумусовом горизонте почв подчиненных ландшафтов (склона и днища временного водотока) повышено содержание обменных Ni, Cu, Sr и Zr, комплексных соединений Ni, Cu и Zn и понижено – обменных Co, Cr, Pb, Ti и Zn, комплексных – Cr, Ti и Co, а также сорбированных – Mn, Ni, Zn, Pb и Zr.</w:t>
      </w:r>
    </w:p>
    <w:p w:rsidR="00AE7E59" w:rsidRPr="00EF536A" w:rsidRDefault="00EF536A" w:rsidP="00EF536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Благодарности</w:t>
      </w:r>
    </w:p>
    <w:p w:rsidR="00AE7E59" w:rsidRPr="00AB4AE7" w:rsidRDefault="00137451" w:rsidP="006B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 w:cs="Times New Roman"/>
          <w:sz w:val="24"/>
          <w:szCs w:val="24"/>
        </w:rPr>
        <w:t xml:space="preserve">Исследование выполнено в рамках договора </w:t>
      </w:r>
      <w:r w:rsidR="00EF536A">
        <w:rPr>
          <w:rFonts w:ascii="Times New Roman" w:hAnsi="Times New Roman" w:cs="Times New Roman"/>
          <w:sz w:val="24"/>
          <w:szCs w:val="24"/>
        </w:rPr>
        <w:t>№</w:t>
      </w:r>
      <w:r w:rsidRPr="00AB4AE7">
        <w:rPr>
          <w:rFonts w:ascii="Times New Roman" w:hAnsi="Times New Roman" w:cs="Times New Roman"/>
          <w:sz w:val="24"/>
          <w:szCs w:val="24"/>
        </w:rPr>
        <w:t xml:space="preserve"> 04/2017/</w:t>
      </w:r>
      <w:r w:rsidR="00EF536A">
        <w:rPr>
          <w:rFonts w:ascii="Times New Roman" w:hAnsi="Times New Roman" w:cs="Times New Roman"/>
          <w:sz w:val="24"/>
          <w:szCs w:val="24"/>
        </w:rPr>
        <w:t xml:space="preserve">РГО-РФФИ (проект </w:t>
      </w:r>
      <w:r w:rsidR="00C90A32">
        <w:rPr>
          <w:rFonts w:ascii="Times New Roman" w:hAnsi="Times New Roman" w:cs="Times New Roman"/>
          <w:sz w:val="24"/>
          <w:szCs w:val="24"/>
        </w:rPr>
        <w:t>17-05-41036</w:t>
      </w:r>
      <w:r w:rsidR="00EF536A">
        <w:rPr>
          <w:rFonts w:ascii="Times New Roman" w:hAnsi="Times New Roman" w:cs="Times New Roman"/>
          <w:sz w:val="24"/>
          <w:szCs w:val="24"/>
        </w:rPr>
        <w:t>)</w:t>
      </w:r>
      <w:r w:rsidR="00C90A32">
        <w:rPr>
          <w:rFonts w:ascii="Times New Roman" w:hAnsi="Times New Roman" w:cs="Times New Roman"/>
          <w:sz w:val="24"/>
          <w:szCs w:val="24"/>
        </w:rPr>
        <w:t>.</w:t>
      </w:r>
    </w:p>
    <w:p w:rsidR="00EF536A" w:rsidRPr="001A798D" w:rsidRDefault="00EF536A" w:rsidP="00EF536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798D">
        <w:rPr>
          <w:rFonts w:ascii="Times New Roman" w:hAnsi="Times New Roman" w:cs="Times New Roman"/>
          <w:b/>
          <w:color w:val="auto"/>
          <w:sz w:val="24"/>
          <w:szCs w:val="24"/>
        </w:rPr>
        <w:t>Литература</w:t>
      </w:r>
    </w:p>
    <w:p w:rsidR="00CA4C24" w:rsidRPr="00C86E5D" w:rsidRDefault="00CA4C24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2" w:name="_Ref520752210"/>
      <w:r w:rsidRPr="00C86E5D">
        <w:t>Касимов</w:t>
      </w:r>
      <w:r w:rsidR="003F098D" w:rsidRPr="00C86E5D">
        <w:t xml:space="preserve"> Н.С.</w:t>
      </w:r>
      <w:r w:rsidRPr="00C86E5D">
        <w:t>, Геннадиев</w:t>
      </w:r>
      <w:r w:rsidR="008062F4" w:rsidRPr="00C86E5D">
        <w:t xml:space="preserve"> А.Н. Геохимия ландшафтов и география почв: основные концепции и подходы // Вестник Московского университета. Серия 5. География.</w:t>
      </w:r>
      <w:r w:rsidRPr="00C86E5D">
        <w:t xml:space="preserve"> 2005</w:t>
      </w:r>
      <w:r w:rsidR="008062F4" w:rsidRPr="00C86E5D">
        <w:t>. №2. С. 10 – 17.</w:t>
      </w:r>
      <w:bookmarkEnd w:id="2"/>
    </w:p>
    <w:p w:rsidR="00CD73F4" w:rsidRPr="006F6167" w:rsidRDefault="00CD73F4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3" w:name="_Ref520752217"/>
      <w:r w:rsidRPr="006F6167">
        <w:t>Этюды по биогеохимии элементов-биофилов. Новосибирск: Наука, 1977. 101 с.</w:t>
      </w:r>
      <w:bookmarkEnd w:id="3"/>
      <w:r w:rsidRPr="006F6167">
        <w:t xml:space="preserve"> </w:t>
      </w:r>
    </w:p>
    <w:p w:rsidR="00CD73F4" w:rsidRPr="006F6167" w:rsidRDefault="00CD73F4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6F6167">
        <w:t xml:space="preserve"> Микроэлементы в почвах СССР. – М.: МГУ, 1981. – 252 с. </w:t>
      </w:r>
    </w:p>
    <w:p w:rsidR="00CA4C24" w:rsidRPr="006F6167" w:rsidRDefault="00CD73F4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4" w:name="_Ref520752230"/>
      <w:r w:rsidRPr="006F6167">
        <w:t>Микроэлементы в почвах Терско-Кумской низменности Дагестана. – Махачкала: Дагестанский филиал АН СССР, 1981. – 232 с.</w:t>
      </w:r>
      <w:bookmarkEnd w:id="4"/>
    </w:p>
    <w:p w:rsidR="00C741B4" w:rsidRPr="006F6167" w:rsidRDefault="00DA0CFD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5" w:name="_Ref520752241"/>
      <w:r w:rsidRPr="003F098D">
        <w:rPr>
          <w:lang w:val="en-US"/>
        </w:rPr>
        <w:t xml:space="preserve">Reimann C., Fabian K., Birke M., Filzmoser P. et al. </w:t>
      </w:r>
      <w:hyperlink r:id="rId11" w:history="1">
        <w:r w:rsidRPr="003F098D">
          <w:rPr>
            <w:lang w:val="en-US"/>
          </w:rPr>
          <w:t>GEMAS: Establishing geochemical background and threshold for 53 chemical elements in European agricultural soil</w:t>
        </w:r>
      </w:hyperlink>
      <w:r w:rsidRPr="003F098D">
        <w:rPr>
          <w:lang w:val="en-US"/>
        </w:rPr>
        <w:t xml:space="preserve">. </w:t>
      </w:r>
      <w:hyperlink r:id="rId12" w:history="1">
        <w:r w:rsidRPr="006F6167">
          <w:t>Applied Geochemistry</w:t>
        </w:r>
      </w:hyperlink>
      <w:r w:rsidRPr="006F6167">
        <w:t>. 2018. Vol. 88 (B). P. 302-318</w:t>
      </w:r>
      <w:r w:rsidR="00EC7752">
        <w:rPr>
          <w:lang w:val="en-US"/>
        </w:rPr>
        <w:t>/</w:t>
      </w:r>
      <w:bookmarkEnd w:id="5"/>
    </w:p>
    <w:p w:rsidR="00DA0CFD" w:rsidRPr="006F6167" w:rsidRDefault="006F6167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6" w:name="_Ref520752361"/>
      <w:r w:rsidRPr="006F6167">
        <w:t>Касимов Н.С., Самонова О.А. Фоновая почвенно-геохимическая структура лесостепи Северного Казахстана // Почвоведение. 1989. № 4. С. 20–35.</w:t>
      </w:r>
      <w:bookmarkEnd w:id="6"/>
    </w:p>
    <w:p w:rsidR="00EC7752" w:rsidRPr="00EC7752" w:rsidRDefault="00EC7752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7" w:name="_Ref520752368"/>
      <w:r w:rsidRPr="00EC7752">
        <w:t>Касимов Н.С., Самонова О.А., Асеева Е.Н. Фоновая почвенно-геохимическая структура лесостепи Приволжской возвышенности // Почвоведение. 1992. № 8. С. 5–22.</w:t>
      </w:r>
      <w:bookmarkEnd w:id="7"/>
    </w:p>
    <w:p w:rsidR="00D00B61" w:rsidRDefault="00D00B61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bookmarkStart w:id="8" w:name="_Ref520752373"/>
      <w:r w:rsidRPr="00D00B61">
        <w:t>Ляшенко Е.А. Подвижные формы тяжелых металлов (Cu, Zn, Pb, Cd) в почвах геохимических ландшафтов краснодарского края. Дис… канд. г. н. Ростов-на-Дону, 2009. 24 с.</w:t>
      </w:r>
      <w:bookmarkEnd w:id="8"/>
    </w:p>
    <w:p w:rsidR="00720AB5" w:rsidRPr="00720AB5" w:rsidRDefault="00CF0395" w:rsidP="00C86E5D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F0395">
        <w:t>Щеглов Д.И., Горбунова Н.С., Семенова Л.А., Хатунцева О.А. Микроэлементы в почвах сопряженных ландшафтов Каменной степи различной степени гидроморфизма // Почвоведение. 2013. № 3. С. 282–290.</w:t>
      </w:r>
    </w:p>
    <w:p w:rsidR="00720AB5" w:rsidRDefault="00720AB5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Семенков И.Н., Асеева Е.Н., Терская Е.В. Геохимическая структура </w:t>
      </w:r>
      <w:r w:rsidR="00024E47">
        <w:t>лесостепных катен балочного водосбора в бассейне р. Упа // Вестник Московского университета. Серия 5. География. 2013. №6. С. 68 – 75.</w:t>
      </w:r>
    </w:p>
    <w:p w:rsidR="00DA0CFD" w:rsidRPr="00C86E5D" w:rsidRDefault="00CF0395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F0395">
        <w:t>Самонова О.А., Геннадиев А.Н., Кошовский Т.С., Жидкин А.П. Металлы в почвах малого водосбора лесостепной зоны (Среднерусская лесостепь) // Почвоведение. 2015. № 6. С. 675–684.</w:t>
      </w:r>
    </w:p>
    <w:p w:rsidR="00C741B4" w:rsidRPr="00EC7752" w:rsidRDefault="003C6FE4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bookmarkStart w:id="9" w:name="_Ref520752393"/>
      <w:r w:rsidRPr="00FD7640">
        <w:rPr>
          <w:lang w:val="en-US"/>
        </w:rPr>
        <w:t xml:space="preserve">Samonova O.A., Aseeva E.N. Kasimov N.S. Metals in 1–0.25 mm grain-size fraction in the soils of the mixed forest zone of the Russian plain. </w:t>
      </w:r>
      <w:r w:rsidRPr="00EC7752">
        <w:t>Journal of Geochemical Exploration. 2017. Vol. 184. P. 381 – 393</w:t>
      </w:r>
      <w:bookmarkEnd w:id="9"/>
      <w:r w:rsidR="00C741B4" w:rsidRPr="00EC7752">
        <w:t xml:space="preserve"> </w:t>
      </w:r>
    </w:p>
    <w:p w:rsidR="00C741B4" w:rsidRPr="000B3432" w:rsidRDefault="00C741B4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bookmarkStart w:id="10" w:name="_Ref520752418"/>
      <w:r w:rsidRPr="000B3432">
        <w:t>Семенков</w:t>
      </w:r>
      <w:r w:rsidR="000B3432">
        <w:t xml:space="preserve"> </w:t>
      </w:r>
      <w:r w:rsidR="00C86E5D" w:rsidRPr="000B3432">
        <w:t xml:space="preserve">И.Н. </w:t>
      </w:r>
      <w:hyperlink r:id="rId13" w:tooltip="Перейти на страницу диссертации" w:history="1">
        <w:r w:rsidR="00C86E5D" w:rsidRPr="000B3432">
          <w:t>Формы нахождения металлов в суглинистых тундровых, таежных, подтаежных и лесостепных почвенно-геохимических катенах</w:t>
        </w:r>
      </w:hyperlink>
      <w:r w:rsidR="00C86E5D">
        <w:t>. Дисс. … канд. геогр. н. М.</w:t>
      </w:r>
      <w:r w:rsidRPr="000B3432">
        <w:t xml:space="preserve"> 2016. </w:t>
      </w:r>
      <w:r w:rsidR="000B3432" w:rsidRPr="000B3432">
        <w:t>174 с.</w:t>
      </w:r>
      <w:bookmarkEnd w:id="10"/>
    </w:p>
    <w:p w:rsidR="001A798D" w:rsidRPr="000B3432" w:rsidRDefault="001A798D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bookmarkStart w:id="11" w:name="_Ref520752426"/>
      <w:r w:rsidRPr="000B3432">
        <w:t>Касимов</w:t>
      </w:r>
      <w:r w:rsidR="000B3432" w:rsidRPr="000B3432">
        <w:t xml:space="preserve"> Н.С.</w:t>
      </w:r>
      <w:r w:rsidRPr="000B3432">
        <w:t>, Власов</w:t>
      </w:r>
      <w:r w:rsidR="000B3432" w:rsidRPr="000B3432">
        <w:t xml:space="preserve"> Д.В. Кларки химических элементов как эталоны сравнения в экогеохимии.</w:t>
      </w:r>
      <w:r w:rsidRPr="000B3432">
        <w:t xml:space="preserve"> </w:t>
      </w:r>
      <w:r w:rsidR="000B3432">
        <w:t xml:space="preserve">Вестник Московского университета. Серия 5. География. </w:t>
      </w:r>
      <w:r w:rsidRPr="000B3432">
        <w:t>2015</w:t>
      </w:r>
      <w:r w:rsidR="000B3432" w:rsidRPr="000B3432">
        <w:t>. №2. С. 7 – 17.</w:t>
      </w:r>
      <w:bookmarkEnd w:id="11"/>
    </w:p>
    <w:p w:rsidR="001A798D" w:rsidRPr="000B3432" w:rsidRDefault="008062F4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bookmarkStart w:id="12" w:name="_Ref520752432"/>
      <w:r w:rsidRPr="000B3432">
        <w:t>Григорьев Н.А.</w:t>
      </w:r>
      <w:r w:rsidRPr="00483F74">
        <w:t xml:space="preserve"> Распределение химических элементов в верхней части континентальной коры. Екатеринбург: УрО РАН, 2009. 382 с.</w:t>
      </w:r>
      <w:bookmarkEnd w:id="12"/>
    </w:p>
    <w:p w:rsidR="001A798D" w:rsidRPr="00EC7752" w:rsidRDefault="00DA0CFD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bookmarkStart w:id="13" w:name="_Ref520752439"/>
      <w:r w:rsidRPr="00FD7640">
        <w:rPr>
          <w:lang w:val="en-US"/>
        </w:rPr>
        <w:t xml:space="preserve">Hu Z., Gao S. Upper crustal abundances of trace elements: A revision and update // Chemical Geology. </w:t>
      </w:r>
      <w:r w:rsidRPr="00EC7752">
        <w:t>2008. Vol. 253 (3–4). P. 205–221.</w:t>
      </w:r>
      <w:bookmarkEnd w:id="13"/>
    </w:p>
    <w:p w:rsidR="00C741B4" w:rsidRPr="00D3094D" w:rsidRDefault="00C741B4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bookmarkStart w:id="14" w:name="_Ref520752447"/>
      <w:r w:rsidRPr="00D3094D">
        <w:t>Глазовская</w:t>
      </w:r>
      <w:r w:rsidR="000B3432" w:rsidRPr="00D3094D">
        <w:t xml:space="preserve"> М.А. Педолитогенез и континентальные циклы углерода</w:t>
      </w:r>
      <w:r w:rsidR="00D3094D" w:rsidRPr="00D3094D">
        <w:t>. М.: Либроком, 2009. 332 с.</w:t>
      </w:r>
      <w:bookmarkEnd w:id="14"/>
    </w:p>
    <w:p w:rsidR="00C741B4" w:rsidRPr="00C86E5D" w:rsidRDefault="00C741B4" w:rsidP="00D3094D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bookmarkStart w:id="15" w:name="_Ref520752454"/>
      <w:r w:rsidRPr="00C86E5D">
        <w:lastRenderedPageBreak/>
        <w:t xml:space="preserve">Семенков </w:t>
      </w:r>
      <w:r w:rsidR="00330374" w:rsidRPr="00C86E5D">
        <w:t>И.Н.</w:t>
      </w:r>
      <w:r w:rsidRPr="00C86E5D">
        <w:t xml:space="preserve">, </w:t>
      </w:r>
      <w:r w:rsidR="001B4CC2" w:rsidRPr="00C86E5D">
        <w:t xml:space="preserve">Терская Е.В., Касимов Н.С. Поведение форм металлов в зональных почвенно-геохимических катенах // Геохимия ландшафтов. К 100-летию со дня рождения Александра Ильича Перельмана. М.: </w:t>
      </w:r>
      <w:r w:rsidR="00C86E5D" w:rsidRPr="00C86E5D">
        <w:t>АПР,</w:t>
      </w:r>
      <w:r w:rsidR="001B4CC2" w:rsidRPr="00C86E5D">
        <w:t xml:space="preserve"> 2016. С. 97 – 144.</w:t>
      </w:r>
      <w:bookmarkEnd w:id="15"/>
    </w:p>
    <w:p w:rsidR="001A798D" w:rsidRPr="001B4CC2" w:rsidRDefault="001A798D" w:rsidP="006B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E1" w:rsidRPr="00AB4AE7" w:rsidRDefault="006D1CE1" w:rsidP="006D1C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B4AE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en-US"/>
        </w:rPr>
        <w:t>Vertical and spatial distribution of major and trace elements in the catena at the Central Forest Nature Reserve</w:t>
      </w:r>
    </w:p>
    <w:p w:rsidR="006D1CE1" w:rsidRPr="00AB4AE7" w:rsidRDefault="006D1CE1" w:rsidP="006D1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B4A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N. S. Kasimov, I.N. Semenkov, E.N. Aseeva, O.A. Samonova, P.R. Enchilik, A.D. Iovcheva, E.V. Terskaya</w:t>
      </w:r>
    </w:p>
    <w:p w:rsidR="00557919" w:rsidRPr="00AB4AE7" w:rsidRDefault="00557919" w:rsidP="006D1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B4A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Faculty of Geography, M.V. Lomonosov Moscow State University, Moscow, polimail@inbox.ru</w:t>
      </w:r>
    </w:p>
    <w:p w:rsidR="00064911" w:rsidRPr="00AB4AE7" w:rsidRDefault="00064911" w:rsidP="006B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911" w:rsidRPr="00AB4AE7" w:rsidRDefault="00557919" w:rsidP="000649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Summary: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2017 and 2018, we investigated the vertical and spatial distribution of </w:t>
      </w:r>
      <w:r w:rsidR="00C90A32" w:rsidRPr="000A7E3E">
        <w:rPr>
          <w:rFonts w:ascii="Times New Roman" w:hAnsi="Times New Roman" w:cs="Times New Roman"/>
          <w:i/>
          <w:sz w:val="24"/>
          <w:szCs w:val="24"/>
          <w:lang w:val="en-US"/>
        </w:rPr>
        <w:t>chemical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elements in four soil profiles of Retisols within a typical catena in the Central Forest Nature Reserve. In 90 soil samples we measured total organic carbon, pH</w:t>
      </w:r>
      <w:r w:rsidR="00C90A32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value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grain size distributions, total concentrations of Co, Cr, Cu, Fe, Mn, Ni, Pb, Sr, Ti, Zn, Zr and levels of their mobile fractions </w:t>
      </w:r>
      <w:r w:rsidR="00405F7C" w:rsidRPr="000A7E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exchangeable, bound to organic complexes and </w:t>
      </w:r>
      <w:r w:rsidR="00DA7535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Fe and Mn hydroxides. In the A-horizons the average total concentration of Fe is 1,2%, Ti – 0,33%, Mn – 482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, Zr – 292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, Sr – 90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, Zn – 39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, Cr – 21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, Pb – 21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, Ni – 9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, Cu 8 – mg‧kg</w:t>
      </w:r>
      <w:r w:rsidR="00064911" w:rsidRPr="000A7E3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concentrations of the exchangeable fraction of the metals diminish in order: Fe&gt; Mn&gt; Sr&gt; Zn, Pb&gt; Ti, Cr, Ni, Cu, Co, Zr; the concentrations of the </w:t>
      </w:r>
      <w:r w:rsidR="0032420A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organic complexes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fraction and the</w:t>
      </w:r>
      <w:r w:rsidR="00DA7535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bound to Fe and Mn hydroxides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fraction show the following order: Fe&gt; Mn&gt;&gt; Ti, Zr, Pb&gt; Co&gt; Ni, Cu, Zn&gt; Cr, Sr and Fe&gt; Mn&gt; Ti&gt; Zn, Sr, Pb&gt; Cr&gt; Cu, Ni, Co&gt; Zr, respectively. In all studied Retisols the total Pb and Zr, the exchangeable fraction of Co, Fe, Mn, Pb and Zn, the </w:t>
      </w:r>
      <w:r w:rsidR="00542B46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organic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fraction of Cu, Fe, Pb and Zn, the </w:t>
      </w:r>
      <w:r w:rsidR="0032420A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Fe and Mn hydroxides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Pb accumulate in topsoil horizons. For the total Co, Fe, Ni, Sr and Zn, the exchangeable Co, Cr, Cu, Mn, Pb, Zn and Zr, the </w:t>
      </w:r>
      <w:r w:rsidR="00DA7535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organic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Co, Cr, Cu, Fe, Mn, Ni, Pb, Zn and Zr and the </w:t>
      </w:r>
      <w:r w:rsidR="0032420A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Fe and Mn hydroxides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Co, Cr, Cu, Ti, Zn, Zr the loss from the albic horizons and/or the accumulation in the argic horizons were registered. The total concentrations of all studied elements increase in the A-horizon in the upper part of the catena, at its slope position. In the A-horizons in its lower part (footslope and toeslope) positions, the concentrations of exchangeable Ni, Cu, Sr and Zr, </w:t>
      </w:r>
      <w:r w:rsidR="00DA7535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organic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Ni, Cu and Zn increases, and the concentration of exchangeable Co, Cr, Pb, Ti and Zn, </w:t>
      </w:r>
      <w:r w:rsidR="00DA7535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organic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Cr, Ti and Co, </w:t>
      </w:r>
      <w:r w:rsidR="0032420A" w:rsidRPr="000A7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 to Fe and Mn hydroxides </w:t>
      </w:r>
      <w:r w:rsidR="00064911" w:rsidRPr="000A7E3E">
        <w:rPr>
          <w:rFonts w:ascii="Times New Roman" w:hAnsi="Times New Roman" w:cs="Times New Roman"/>
          <w:i/>
          <w:sz w:val="24"/>
          <w:szCs w:val="24"/>
          <w:lang w:val="en-US"/>
        </w:rPr>
        <w:t>Mn, Ni, Zn, Pb, Zr decreases.</w:t>
      </w:r>
    </w:p>
    <w:p w:rsidR="00064911" w:rsidRDefault="00064911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4AE7">
        <w:rPr>
          <w:rFonts w:ascii="Times New Roman" w:hAnsi="Times New Roman" w:cs="Times New Roman"/>
          <w:i/>
          <w:sz w:val="24"/>
          <w:szCs w:val="24"/>
          <w:lang w:val="en-US"/>
        </w:rPr>
        <w:t>Key</w:t>
      </w:r>
      <w:r w:rsidR="00557919" w:rsidRPr="00AB4A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B4A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words: Albeluvisols, soil, </w:t>
      </w:r>
      <w:r w:rsidR="006D1CE1" w:rsidRPr="00AB4AE7">
        <w:rPr>
          <w:rFonts w:ascii="Times New Roman" w:hAnsi="Times New Roman" w:cs="Times New Roman"/>
          <w:i/>
          <w:sz w:val="24"/>
          <w:szCs w:val="24"/>
          <w:lang w:val="en-US"/>
        </w:rPr>
        <w:t>heavy metals</w:t>
      </w:r>
      <w:r w:rsidRPr="00AB4AE7">
        <w:rPr>
          <w:rFonts w:ascii="Times New Roman" w:hAnsi="Times New Roman" w:cs="Times New Roman"/>
          <w:i/>
          <w:sz w:val="24"/>
          <w:szCs w:val="24"/>
          <w:lang w:val="en-US"/>
        </w:rPr>
        <w:t>, iron, manganese, landscape geochemistry</w:t>
      </w: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5BE3" w:rsidRDefault="00015BE3" w:rsidP="006B3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015BE3" w:rsidSect="007D2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875"/>
    <w:multiLevelType w:val="multilevel"/>
    <w:tmpl w:val="E09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02097"/>
    <w:multiLevelType w:val="hybridMultilevel"/>
    <w:tmpl w:val="A24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86F"/>
    <w:multiLevelType w:val="hybridMultilevel"/>
    <w:tmpl w:val="B978DF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3D63"/>
    <w:multiLevelType w:val="multilevel"/>
    <w:tmpl w:val="95E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2164E"/>
    <w:multiLevelType w:val="hybridMultilevel"/>
    <w:tmpl w:val="C4B8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358E"/>
    <w:multiLevelType w:val="hybridMultilevel"/>
    <w:tmpl w:val="A24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774D"/>
    <w:multiLevelType w:val="hybridMultilevel"/>
    <w:tmpl w:val="A24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719CB"/>
    <w:multiLevelType w:val="hybridMultilevel"/>
    <w:tmpl w:val="A24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2C2D"/>
    <w:multiLevelType w:val="hybridMultilevel"/>
    <w:tmpl w:val="D9E4AEDE"/>
    <w:lvl w:ilvl="0" w:tplc="0798AD8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E"/>
    <w:rsid w:val="00015BE3"/>
    <w:rsid w:val="00022D06"/>
    <w:rsid w:val="00024E47"/>
    <w:rsid w:val="000367BD"/>
    <w:rsid w:val="00055594"/>
    <w:rsid w:val="00064911"/>
    <w:rsid w:val="000A7E3E"/>
    <w:rsid w:val="000B3432"/>
    <w:rsid w:val="00137060"/>
    <w:rsid w:val="00137451"/>
    <w:rsid w:val="00162C67"/>
    <w:rsid w:val="001709CE"/>
    <w:rsid w:val="001A798D"/>
    <w:rsid w:val="001B4CC2"/>
    <w:rsid w:val="001D5E6C"/>
    <w:rsid w:val="002128BD"/>
    <w:rsid w:val="002957DD"/>
    <w:rsid w:val="0029709D"/>
    <w:rsid w:val="002B662E"/>
    <w:rsid w:val="002E427B"/>
    <w:rsid w:val="0032420A"/>
    <w:rsid w:val="0032511A"/>
    <w:rsid w:val="00330374"/>
    <w:rsid w:val="0037230E"/>
    <w:rsid w:val="003879C1"/>
    <w:rsid w:val="003C6FE4"/>
    <w:rsid w:val="003F098D"/>
    <w:rsid w:val="003F464F"/>
    <w:rsid w:val="00405F7C"/>
    <w:rsid w:val="004C55CD"/>
    <w:rsid w:val="004D4CBA"/>
    <w:rsid w:val="00542B46"/>
    <w:rsid w:val="00555DDE"/>
    <w:rsid w:val="00557919"/>
    <w:rsid w:val="00623C3D"/>
    <w:rsid w:val="0064163E"/>
    <w:rsid w:val="00642D84"/>
    <w:rsid w:val="006664C3"/>
    <w:rsid w:val="006B3A2F"/>
    <w:rsid w:val="006D1CE1"/>
    <w:rsid w:val="006F6167"/>
    <w:rsid w:val="007008B2"/>
    <w:rsid w:val="00712284"/>
    <w:rsid w:val="007133AB"/>
    <w:rsid w:val="00720AB5"/>
    <w:rsid w:val="0074709D"/>
    <w:rsid w:val="00753B16"/>
    <w:rsid w:val="007D25A3"/>
    <w:rsid w:val="007E1661"/>
    <w:rsid w:val="0080342D"/>
    <w:rsid w:val="008062F4"/>
    <w:rsid w:val="00856000"/>
    <w:rsid w:val="00885C7B"/>
    <w:rsid w:val="008A388A"/>
    <w:rsid w:val="008A428F"/>
    <w:rsid w:val="008F5918"/>
    <w:rsid w:val="009000B4"/>
    <w:rsid w:val="00905AC8"/>
    <w:rsid w:val="009060E9"/>
    <w:rsid w:val="00930E78"/>
    <w:rsid w:val="00A22EE5"/>
    <w:rsid w:val="00A3083F"/>
    <w:rsid w:val="00A41BC7"/>
    <w:rsid w:val="00A533C9"/>
    <w:rsid w:val="00A81DA6"/>
    <w:rsid w:val="00A94DEA"/>
    <w:rsid w:val="00AA0B3B"/>
    <w:rsid w:val="00AB4AE7"/>
    <w:rsid w:val="00AD4360"/>
    <w:rsid w:val="00AD596F"/>
    <w:rsid w:val="00AE7E59"/>
    <w:rsid w:val="00B811CD"/>
    <w:rsid w:val="00B9337B"/>
    <w:rsid w:val="00BA55A0"/>
    <w:rsid w:val="00C1527C"/>
    <w:rsid w:val="00C741B4"/>
    <w:rsid w:val="00C86E5D"/>
    <w:rsid w:val="00C90A32"/>
    <w:rsid w:val="00C973B9"/>
    <w:rsid w:val="00CA4C24"/>
    <w:rsid w:val="00CD73F4"/>
    <w:rsid w:val="00CE6918"/>
    <w:rsid w:val="00CF0395"/>
    <w:rsid w:val="00D00B61"/>
    <w:rsid w:val="00D3094D"/>
    <w:rsid w:val="00D53AE7"/>
    <w:rsid w:val="00DA0CFD"/>
    <w:rsid w:val="00DA7535"/>
    <w:rsid w:val="00DB4D28"/>
    <w:rsid w:val="00DF2F34"/>
    <w:rsid w:val="00E02791"/>
    <w:rsid w:val="00EC7752"/>
    <w:rsid w:val="00EF536A"/>
    <w:rsid w:val="00FD7640"/>
    <w:rsid w:val="00FF357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3E0E-0A41-4960-B8A9-D37086A4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2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2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7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caption"/>
    <w:basedOn w:val="a"/>
    <w:next w:val="a"/>
    <w:uiPriority w:val="35"/>
    <w:unhideWhenUsed/>
    <w:qFormat/>
    <w:rsid w:val="009000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22E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2E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2E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ody Text Indent"/>
    <w:basedOn w:val="a"/>
    <w:link w:val="a7"/>
    <w:semiHidden/>
    <w:unhideWhenUsed/>
    <w:rsid w:val="00A22EE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22EE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unhideWhenUsed/>
    <w:rsid w:val="00A22E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2EE5"/>
  </w:style>
  <w:style w:type="paragraph" w:styleId="aa">
    <w:name w:val="Balloon Text"/>
    <w:basedOn w:val="a"/>
    <w:link w:val="ab"/>
    <w:uiPriority w:val="99"/>
    <w:semiHidden/>
    <w:unhideWhenUsed/>
    <w:rsid w:val="00A2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2EE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22EE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A2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2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EE5"/>
  </w:style>
  <w:style w:type="paragraph" w:styleId="af0">
    <w:name w:val="footer"/>
    <w:basedOn w:val="a"/>
    <w:link w:val="af1"/>
    <w:uiPriority w:val="99"/>
    <w:unhideWhenUsed/>
    <w:rsid w:val="00A2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EE5"/>
  </w:style>
  <w:style w:type="table" w:customStyle="1" w:styleId="11">
    <w:name w:val="Сетка таблицы1"/>
    <w:basedOn w:val="a1"/>
    <w:next w:val="ad"/>
    <w:uiPriority w:val="39"/>
    <w:rsid w:val="00A2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A22EE5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A22EE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2EE5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2EE5"/>
    <w:rPr>
      <w:vertAlign w:val="superscript"/>
    </w:rPr>
  </w:style>
  <w:style w:type="paragraph" w:styleId="af6">
    <w:name w:val="TOC Heading"/>
    <w:basedOn w:val="1"/>
    <w:next w:val="a"/>
    <w:uiPriority w:val="39"/>
    <w:unhideWhenUsed/>
    <w:qFormat/>
    <w:rsid w:val="00A22EE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22EE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A22EE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22EE5"/>
    <w:pPr>
      <w:spacing w:after="100"/>
      <w:ind w:left="440"/>
    </w:pPr>
  </w:style>
  <w:style w:type="character" w:styleId="af7">
    <w:name w:val="Hyperlink"/>
    <w:basedOn w:val="a0"/>
    <w:uiPriority w:val="99"/>
    <w:unhideWhenUsed/>
    <w:rsid w:val="00A22EE5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A22EE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22EE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22EE5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EE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22EE5"/>
    <w:rPr>
      <w:b/>
      <w:bCs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2EE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0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stina.msu.ru/dissertations/1900614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ciencedirect.com/science/journal/088329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ciencedirect.com/science/article/pii/S0883292716304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3485-80F7-4E79-84BC-CD8D373E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2018-06-26T18:35:00Z</dcterms:created>
  <dcterms:modified xsi:type="dcterms:W3CDTF">2019-01-12T15:13:00Z</dcterms:modified>
</cp:coreProperties>
</file>