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3192"/>
      </w:tblGrid>
      <w:tr w:rsidR="009C4131" w:rsidRPr="009C4131" w:rsidTr="009C4131"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4131" w:rsidRPr="009C4131" w:rsidRDefault="009C4131" w:rsidP="009C4131">
            <w:pPr>
              <w:spacing w:line="240" w:lineRule="auto"/>
              <w:ind w:firstLine="0"/>
              <w:jc w:val="left"/>
              <w:rPr>
                <w:rFonts w:ascii="Calibri" w:hAnsi="Calibri"/>
                <w:sz w:val="40"/>
                <w:szCs w:val="40"/>
                <w:lang w:eastAsia="en-US"/>
              </w:rPr>
            </w:pPr>
            <w:r w:rsidRPr="009C4131">
              <w:rPr>
                <w:rFonts w:ascii="Calibri" w:hAnsi="Calibri"/>
                <w:b/>
                <w:bCs/>
                <w:sz w:val="40"/>
                <w:szCs w:val="40"/>
                <w:lang w:eastAsia="en-US"/>
              </w:rPr>
              <w:t>Академик Александр Некипелов: «Государству не стоит отпускать рубль в свободное плавание»</w:t>
            </w:r>
          </w:p>
          <w:p w:rsidR="009C4131" w:rsidRPr="009C4131" w:rsidRDefault="009C4131" w:rsidP="009C4131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413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02 декабря </w:t>
            </w:r>
            <w:r w:rsidRPr="009C4131">
              <w:rPr>
                <w:rFonts w:ascii="Calibri" w:hAnsi="Calibri"/>
                <w:sz w:val="22"/>
                <w:szCs w:val="22"/>
                <w:lang w:eastAsia="en-US"/>
              </w:rPr>
              <w:t>15:44</w:t>
            </w:r>
          </w:p>
          <w:p w:rsidR="009C4131" w:rsidRPr="009C4131" w:rsidRDefault="009C4131" w:rsidP="009C4131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4131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  <w:p w:rsidR="009C4131" w:rsidRPr="009C4131" w:rsidRDefault="009C4131" w:rsidP="009C4131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4131">
              <w:rPr>
                <w:rFonts w:ascii="Calibri" w:hAnsi="Calibri"/>
                <w:sz w:val="22"/>
                <w:szCs w:val="22"/>
                <w:lang w:eastAsia="en-US"/>
              </w:rPr>
              <w:t xml:space="preserve">Александр </w:t>
            </w:r>
            <w:proofErr w:type="spellStart"/>
            <w:r w:rsidRPr="009C4131">
              <w:rPr>
                <w:rFonts w:ascii="Calibri" w:hAnsi="Calibri"/>
                <w:sz w:val="22"/>
                <w:szCs w:val="22"/>
                <w:lang w:eastAsia="en-US"/>
              </w:rPr>
              <w:t>Приходин</w:t>
            </w:r>
            <w:proofErr w:type="spellEnd"/>
          </w:p>
          <w:p w:rsidR="009C4131" w:rsidRPr="009C4131" w:rsidRDefault="009C4131" w:rsidP="009C4131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4131">
              <w:rPr>
                <w:rFonts w:ascii="Calibri" w:hAnsi="Calibri"/>
                <w:sz w:val="22"/>
                <w:szCs w:val="22"/>
                <w:lang w:eastAsia="en-US"/>
              </w:rPr>
              <w:t>Прекращение деятельности «Мастер-банка» обострило проблемы защиты прав вкладчиков и оздоровления кредитно-финансовой сферы.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4131" w:rsidRPr="009C4131" w:rsidRDefault="009C4131" w:rsidP="009C4131">
            <w:pPr>
              <w:spacing w:line="240" w:lineRule="auto"/>
              <w:ind w:firstLine="0"/>
              <w:jc w:val="left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25320" cy="1323340"/>
                  <wp:effectExtent l="0" t="0" r="0" b="0"/>
                  <wp:docPr id="1" name="Picture 1" descr="Академик Александр Некипелов: «Государству не стоит отпускать рубль в свободное плавание» - Александр Некипелов. Фото ИТАР-ТАС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адемик Александр Некипелов: «Государству не стоит отпускать рубль в свободное плавание» - Александр Некипелов. Фото ИТАР-ТАС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131" w:rsidRPr="009C4131" w:rsidRDefault="009C4131" w:rsidP="009C4131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4131">
              <w:rPr>
                <w:rFonts w:ascii="Calibri" w:hAnsi="Calibri"/>
                <w:sz w:val="22"/>
                <w:szCs w:val="22"/>
                <w:lang w:eastAsia="en-US"/>
              </w:rPr>
              <w:t xml:space="preserve">Александр Некипелов. Фото ИТАР-ТАСС. </w:t>
            </w:r>
          </w:p>
        </w:tc>
      </w:tr>
    </w:tbl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b/>
          <w:bCs/>
          <w:sz w:val="22"/>
          <w:szCs w:val="22"/>
          <w:lang w:eastAsia="en-US"/>
        </w:rPr>
        <w:t>О том, как снизить риски и обеспечить устойчивость кредитно-финансовой системы, в беседе с корреспондентом «Файла-РФ» размышляет академик РАН, директор Московской школы экономики Александр НЕКИПЕЛОВ.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 xml:space="preserve">– Конечно, случай с банкротством «Мастер-банка» очень неприятный. Важно помнить, что банки – </w:t>
      </w:r>
      <w:proofErr w:type="gramStart"/>
      <w:r w:rsidRPr="009C4131">
        <w:rPr>
          <w:rFonts w:ascii="Calibri" w:hAnsi="Calibri"/>
          <w:sz w:val="22"/>
          <w:szCs w:val="22"/>
          <w:lang w:eastAsia="en-US"/>
        </w:rPr>
        <w:t>особая</w:t>
      </w:r>
      <w:proofErr w:type="gramEnd"/>
      <w:r w:rsidRPr="009C4131">
        <w:rPr>
          <w:rFonts w:ascii="Calibri" w:hAnsi="Calibri"/>
          <w:sz w:val="22"/>
          <w:szCs w:val="22"/>
          <w:lang w:eastAsia="en-US"/>
        </w:rPr>
        <w:t xml:space="preserve"> бизнес-структура. Они не только играют роль финансовых посредников, которые принимают вклады населения и инвестируют их, но и являются элементами платёжной системы. Поэтому к банкам принято относиться осторожно, тщательно регулировать их деятельность. Их банкротства, помимо прочего, – удар по платёжной системе страны. Но это не означает, что ЦБ должен терпеть, как говорится, «всяческие художества» коммерческих банков.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Его задача – выполнять функции регулятора, добиваться от банкиров ответственного поведения. Они должны понимать, что оперируют не своими, а чужими средствами, и являются звеном расчётно-платёжной системы.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 xml:space="preserve">У нас, как и во многих других странах, действует система страхования вкладов. Все депозиты частных лиц без их участия застрахованы на сумму до 700 тысяч рублей. Вкладчики должны задаться вопросом: а стоит ли рисковать и хранить более крупные суммы в банке, который имеет репутацию </w:t>
      </w:r>
      <w:proofErr w:type="gramStart"/>
      <w:r w:rsidRPr="009C4131">
        <w:rPr>
          <w:rFonts w:ascii="Calibri" w:hAnsi="Calibri"/>
          <w:sz w:val="22"/>
          <w:szCs w:val="22"/>
          <w:lang w:eastAsia="en-US"/>
        </w:rPr>
        <w:t>неустойчивого</w:t>
      </w:r>
      <w:proofErr w:type="gramEnd"/>
      <w:r w:rsidRPr="009C4131">
        <w:rPr>
          <w:rFonts w:ascii="Calibri" w:hAnsi="Calibri"/>
          <w:sz w:val="22"/>
          <w:szCs w:val="22"/>
          <w:lang w:eastAsia="en-US"/>
        </w:rPr>
        <w:t>? Ведь в случае его краха они не смогут апеллировать к государству. Прежде, чем доверить такому банку свои накопления, стоит вспомнить печально известный опыт «МММ», «</w:t>
      </w:r>
      <w:proofErr w:type="spellStart"/>
      <w:r w:rsidRPr="009C4131">
        <w:rPr>
          <w:rFonts w:ascii="Calibri" w:hAnsi="Calibri"/>
          <w:sz w:val="22"/>
          <w:szCs w:val="22"/>
          <w:lang w:eastAsia="en-US"/>
        </w:rPr>
        <w:t>Хопёр-инвеста</w:t>
      </w:r>
      <w:proofErr w:type="spellEnd"/>
      <w:r w:rsidRPr="009C4131">
        <w:rPr>
          <w:rFonts w:ascii="Calibri" w:hAnsi="Calibri"/>
          <w:sz w:val="22"/>
          <w:szCs w:val="22"/>
          <w:lang w:eastAsia="en-US"/>
        </w:rPr>
        <w:t>» и других «мыльных пузырей».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b/>
          <w:bCs/>
          <w:sz w:val="22"/>
          <w:szCs w:val="22"/>
          <w:lang w:eastAsia="en-US"/>
        </w:rPr>
        <w:t>– Александр Дмитриевич, почему наш ЦБ не последует примеру, скажем, Национального банка Украины, который устанавливает фиксированные курсы покупки и продажи доллара, евро, рубля, других валют за гривны? Это выглядело бы логичным, особенно сейчас, когда позиции государства в экономике укрепляются…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– Здесь важно уточнить, что имеется в виду. Абсолютная фиксация курса обеспечивается так называемой системой валютного управления. Страна, принявшая её, фактически отказывается от финансовой самостоятельности. Количество обращающихся денежных средств в этих условиях зависит исключительно от сальдо притока – оттока валюты, к которой она «привязана». Россия, конечно, не может пойти на отказ от валютного суверенитета, допустив, что её денежная единица является не более чем представителем чужой валюты.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Иной способ фиксации достигается тогда, когда центральный банк берёт на себя обязательство при помощи интервенций поддерживать установленный курс национальной денежной единицы. Если в страну поступает много иностранной валюты, то он скупает её за счёт специально эмитируемых для этих целей средств до тех пор, пока спрос и предложение при заданном курсе не уравновесятся. Противоположная ситуация возникает при оттоке: центральный банк начинает продавить валюту из имеющихся у него резервов.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 xml:space="preserve">Созданная в конце Второй мировой </w:t>
      </w:r>
      <w:proofErr w:type="gramStart"/>
      <w:r w:rsidRPr="009C4131">
        <w:rPr>
          <w:rFonts w:ascii="Calibri" w:hAnsi="Calibri"/>
          <w:sz w:val="22"/>
          <w:szCs w:val="22"/>
          <w:lang w:eastAsia="en-US"/>
        </w:rPr>
        <w:t>войны</w:t>
      </w:r>
      <w:proofErr w:type="gramEnd"/>
      <w:r w:rsidRPr="009C4131">
        <w:rPr>
          <w:rFonts w:ascii="Calibri" w:hAnsi="Calibri"/>
          <w:sz w:val="22"/>
          <w:szCs w:val="22"/>
          <w:lang w:eastAsia="en-US"/>
        </w:rPr>
        <w:t xml:space="preserve"> так называемая </w:t>
      </w:r>
      <w:proofErr w:type="spellStart"/>
      <w:r w:rsidRPr="009C4131">
        <w:rPr>
          <w:rFonts w:ascii="Calibri" w:hAnsi="Calibri"/>
          <w:sz w:val="22"/>
          <w:szCs w:val="22"/>
          <w:lang w:eastAsia="en-US"/>
        </w:rPr>
        <w:t>Бреттон-Вудская</w:t>
      </w:r>
      <w:proofErr w:type="spellEnd"/>
      <w:r w:rsidRPr="009C4131">
        <w:rPr>
          <w:rFonts w:ascii="Calibri" w:hAnsi="Calibri"/>
          <w:sz w:val="22"/>
          <w:szCs w:val="22"/>
          <w:lang w:eastAsia="en-US"/>
        </w:rPr>
        <w:t xml:space="preserve"> международная валютная система основывалась на таком понимании фиксированного курса.</w:t>
      </w:r>
      <w:r w:rsidRPr="009C4131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9C4131">
        <w:rPr>
          <w:rFonts w:ascii="Calibri" w:hAnsi="Calibri"/>
          <w:sz w:val="22"/>
          <w:szCs w:val="22"/>
          <w:lang w:eastAsia="en-US"/>
        </w:rPr>
        <w:t xml:space="preserve">Она же </w:t>
      </w:r>
      <w:r w:rsidRPr="009C4131">
        <w:rPr>
          <w:rFonts w:ascii="Calibri" w:hAnsi="Calibri"/>
          <w:sz w:val="22"/>
          <w:szCs w:val="22"/>
          <w:lang w:eastAsia="en-US"/>
        </w:rPr>
        <w:lastRenderedPageBreak/>
        <w:t xml:space="preserve">продемонстрировала и опасности, связанные с фиксацией в условиях широко распространившихся к началу 70-х годов прошлого века свободных </w:t>
      </w:r>
      <w:proofErr w:type="spellStart"/>
      <w:r w:rsidRPr="009C4131">
        <w:rPr>
          <w:rFonts w:ascii="Calibri" w:hAnsi="Calibri"/>
          <w:sz w:val="22"/>
          <w:szCs w:val="22"/>
          <w:lang w:eastAsia="en-US"/>
        </w:rPr>
        <w:t>перетоков</w:t>
      </w:r>
      <w:proofErr w:type="spellEnd"/>
      <w:r w:rsidRPr="009C4131">
        <w:rPr>
          <w:rFonts w:ascii="Calibri" w:hAnsi="Calibri"/>
          <w:sz w:val="22"/>
          <w:szCs w:val="22"/>
          <w:lang w:eastAsia="en-US"/>
        </w:rPr>
        <w:t xml:space="preserve"> краткосрочных (спекулятивных) капиталов между странами. Стало ясно, что серьёзных спекулятивных атак на национальные валюты, чреватых серьёзными последствиями для стран, ставших их объектом, избежать невозможно. Не случайно в 1971 году </w:t>
      </w:r>
      <w:proofErr w:type="spellStart"/>
      <w:r w:rsidRPr="009C4131">
        <w:rPr>
          <w:rFonts w:ascii="Calibri" w:hAnsi="Calibri"/>
          <w:sz w:val="22"/>
          <w:szCs w:val="22"/>
          <w:lang w:eastAsia="en-US"/>
        </w:rPr>
        <w:t>Бреттон-Вудская</w:t>
      </w:r>
      <w:proofErr w:type="spellEnd"/>
      <w:r w:rsidRPr="009C4131">
        <w:rPr>
          <w:rFonts w:ascii="Calibri" w:hAnsi="Calibri"/>
          <w:sz w:val="22"/>
          <w:szCs w:val="22"/>
          <w:lang w:eastAsia="en-US"/>
        </w:rPr>
        <w:t xml:space="preserve"> система прекратила своё существование.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С учётом всего этого, мне кажется, для России сегодня актуальна не проблема фиксации курса рубля, а сохранение применявшейся до последнего времени системы его мягкого регулирования посредством валютных интервенций. Тем самым можно удерживать курс в определённых границах (в рамках «коридора») и не допускать его резких колебаний. Поэтому объявленную линию на переход к «свободному плаванию национальной валюты» я воспринимаю с известным опасением.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b/>
          <w:bCs/>
          <w:sz w:val="22"/>
          <w:szCs w:val="22"/>
          <w:lang w:eastAsia="en-US"/>
        </w:rPr>
        <w:t xml:space="preserve">– Итак, «валютный коридор» мы прошли, «фиксация курса» нам не подходит, «свободное плавание национальной валюты» вызывает опасения… 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– На мой взгляд, сейчас было бы разумно не форсировать переход к свободному плаванию валюты. Для хозяйствующих субъектов очень важно иметь более или менее чёткие ориентиры возможного разброса величины курса. А их не будет, если валютный курс «болтается» туда-сюда в зависимости от движения спекулятивного капитала. Иными словами, сегодня такая система может создать серьёзные проблемы для реального сектора экономики.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Мне кажется, нам важно ограничить влияние спекулятивных трансграничных «</w:t>
      </w:r>
      <w:proofErr w:type="spellStart"/>
      <w:r w:rsidRPr="009C4131">
        <w:rPr>
          <w:rFonts w:ascii="Calibri" w:hAnsi="Calibri"/>
          <w:sz w:val="22"/>
          <w:szCs w:val="22"/>
          <w:lang w:eastAsia="en-US"/>
        </w:rPr>
        <w:t>перетоков</w:t>
      </w:r>
      <w:proofErr w:type="spellEnd"/>
      <w:r w:rsidRPr="009C4131">
        <w:rPr>
          <w:rFonts w:ascii="Calibri" w:hAnsi="Calibri"/>
          <w:sz w:val="22"/>
          <w:szCs w:val="22"/>
          <w:lang w:eastAsia="en-US"/>
        </w:rPr>
        <w:t xml:space="preserve">» капитала на финансово-экономическую ситуацию в стране. Конечно, мы не можем сегодня пойти на отказ от конвертируемости валюты по капитальным счетам. Однако нет оснований игнорировать имеющийся мировой опыт – в частности, связанный с использованием той или иной разновидности «налога </w:t>
      </w:r>
      <w:proofErr w:type="spellStart"/>
      <w:r w:rsidRPr="009C4131">
        <w:rPr>
          <w:rFonts w:ascii="Calibri" w:hAnsi="Calibri"/>
          <w:sz w:val="22"/>
          <w:szCs w:val="22"/>
          <w:lang w:eastAsia="en-US"/>
        </w:rPr>
        <w:t>Тобина</w:t>
      </w:r>
      <w:proofErr w:type="spellEnd"/>
      <w:r w:rsidRPr="009C4131">
        <w:rPr>
          <w:rFonts w:ascii="Calibri" w:hAnsi="Calibri"/>
          <w:sz w:val="22"/>
          <w:szCs w:val="22"/>
          <w:lang w:eastAsia="en-US"/>
        </w:rPr>
        <w:t xml:space="preserve">». Так назвали международный налог на валютные сделки, предложенный в 1972 году нобелевским лауреатом по экономике Джеймсом </w:t>
      </w:r>
      <w:proofErr w:type="spellStart"/>
      <w:r w:rsidRPr="009C4131">
        <w:rPr>
          <w:rFonts w:ascii="Calibri" w:hAnsi="Calibri"/>
          <w:sz w:val="22"/>
          <w:szCs w:val="22"/>
          <w:lang w:eastAsia="en-US"/>
        </w:rPr>
        <w:t>Тобином</w:t>
      </w:r>
      <w:proofErr w:type="spellEnd"/>
      <w:r w:rsidRPr="009C4131">
        <w:rPr>
          <w:rFonts w:ascii="Calibri" w:hAnsi="Calibri"/>
          <w:sz w:val="22"/>
          <w:szCs w:val="22"/>
          <w:lang w:eastAsia="en-US"/>
        </w:rPr>
        <w:t>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Этот видный американский экономист был обеспокоен избыточными колебаниями обменных курсов. Для обуздания спекуляций в финансовой сфере он считал важным обложение во всём мире специальным налогом операций по обмену валюты. Идея заключается в том, что небольшой налог (0,1–0,25%) практически нечувствителен для хозяйствующих субъектов и частных лиц, которые время от времени проводят торговые операции. Но он становиться весьма ощутимым для трансграничных финансовых спекулянтов, которые меняют деньги по несколько раз в день.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Сегодня та же идея реализуется и в иных формах: налог на финансовые операции, получивший популярность в Евросоюзе (хотя есть и противники), является одной из них.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b/>
          <w:bCs/>
          <w:sz w:val="22"/>
          <w:szCs w:val="22"/>
          <w:lang w:eastAsia="en-US"/>
        </w:rPr>
        <w:t>– У нас пока такого налога нет…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>– Вот я и говорю, что нам следует тщательно взвесить баланс плюсов и минусов от его внедрения для нашей экономики. С моей точки зрения, плюсов явно больше.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b/>
          <w:bCs/>
          <w:sz w:val="22"/>
          <w:szCs w:val="22"/>
          <w:lang w:eastAsia="en-US"/>
        </w:rPr>
        <w:t>– Если я вас правильно понял, такой налог стал бы более эффективным и менее болезненным, чем просто введение фиксированного курса валюты?</w:t>
      </w:r>
    </w:p>
    <w:p w:rsidR="009C4131" w:rsidRPr="009C4131" w:rsidRDefault="009C4131" w:rsidP="009C4131">
      <w:pPr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 w:rsidRPr="009C4131">
        <w:rPr>
          <w:rFonts w:ascii="Calibri" w:hAnsi="Calibri"/>
          <w:sz w:val="22"/>
          <w:szCs w:val="22"/>
          <w:lang w:eastAsia="en-US"/>
        </w:rPr>
        <w:t xml:space="preserve">– Введение в полном смысле слова фиксированного курса валюты без жёстких мер по ограничению движения краткосрочных капиталов стало бы просто авантюристическим шагом, сделало бы Россию очень уязвимой в финансово-экономической области. Ведь и большой отток, и неконтролируемый приток средств создает крайне серьёзные проблемы. Поэтому моя позиция заключается в том, чтобы продолжить политику регулируемого (но не фиксированного!) валютного курса и одновременно принять «мягкие» меры («налог </w:t>
      </w:r>
      <w:proofErr w:type="spellStart"/>
      <w:r w:rsidRPr="009C4131">
        <w:rPr>
          <w:rFonts w:ascii="Calibri" w:hAnsi="Calibri"/>
          <w:sz w:val="22"/>
          <w:szCs w:val="22"/>
          <w:lang w:eastAsia="en-US"/>
        </w:rPr>
        <w:t>Тобина</w:t>
      </w:r>
      <w:proofErr w:type="spellEnd"/>
      <w:r w:rsidRPr="009C4131">
        <w:rPr>
          <w:rFonts w:ascii="Calibri" w:hAnsi="Calibri"/>
          <w:sz w:val="22"/>
          <w:szCs w:val="22"/>
          <w:lang w:eastAsia="en-US"/>
        </w:rPr>
        <w:t>» в одном из его вариантов) по ограничению движения спекулятивного краткосрочного капитала в страну и из страны.</w:t>
      </w:r>
    </w:p>
    <w:p w:rsidR="009B3BAD" w:rsidRDefault="009B3BAD">
      <w:bookmarkStart w:id="0" w:name="_GoBack"/>
      <w:bookmarkEnd w:id="0"/>
    </w:p>
    <w:sectPr w:rsidR="009B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31"/>
    <w:rsid w:val="000C70CD"/>
    <w:rsid w:val="001F1D96"/>
    <w:rsid w:val="00520755"/>
    <w:rsid w:val="006F37BE"/>
    <w:rsid w:val="00765AAF"/>
    <w:rsid w:val="007D558C"/>
    <w:rsid w:val="009B3BAD"/>
    <w:rsid w:val="009C4131"/>
    <w:rsid w:val="00A651F2"/>
    <w:rsid w:val="00A817F3"/>
    <w:rsid w:val="00B30177"/>
    <w:rsid w:val="00C47472"/>
    <w:rsid w:val="00CB3995"/>
    <w:rsid w:val="00CC6B8E"/>
    <w:rsid w:val="00E95FF3"/>
    <w:rsid w:val="00F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F3"/>
    <w:pPr>
      <w:spacing w:line="36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01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17F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1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01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017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3017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1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817F3"/>
    <w:rPr>
      <w:rFonts w:ascii="Arial" w:eastAsiaTheme="majorEastAsia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B301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301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301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30177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0177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77"/>
  </w:style>
  <w:style w:type="paragraph" w:styleId="Footer">
    <w:name w:val="footer"/>
    <w:basedOn w:val="Normal"/>
    <w:link w:val="FooterChar"/>
    <w:uiPriority w:val="99"/>
    <w:unhideWhenUsed/>
    <w:rsid w:val="00B30177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77"/>
  </w:style>
  <w:style w:type="paragraph" w:customStyle="1" w:styleId="a">
    <w:name w:val="ПРОГНОЗ_Заголовок"/>
    <w:basedOn w:val="Normal"/>
    <w:next w:val="Normal"/>
    <w:qFormat/>
    <w:rsid w:val="00A817F3"/>
    <w:pPr>
      <w:spacing w:after="520"/>
    </w:pPr>
    <w:rPr>
      <w:rFonts w:eastAsia="Calibri"/>
      <w:b/>
      <w:caps/>
    </w:rPr>
  </w:style>
  <w:style w:type="character" w:styleId="Strong">
    <w:name w:val="Strong"/>
    <w:uiPriority w:val="22"/>
    <w:qFormat/>
    <w:rsid w:val="00A817F3"/>
    <w:rPr>
      <w:b/>
      <w:bCs/>
    </w:rPr>
  </w:style>
  <w:style w:type="character" w:styleId="Emphasis">
    <w:name w:val="Emphasis"/>
    <w:qFormat/>
    <w:rsid w:val="00A817F3"/>
    <w:rPr>
      <w:i/>
      <w:iCs/>
    </w:rPr>
  </w:style>
  <w:style w:type="paragraph" w:styleId="ListParagraph">
    <w:name w:val="List Paragraph"/>
    <w:aliases w:val="ПАРАГРАФ"/>
    <w:basedOn w:val="Normal"/>
    <w:uiPriority w:val="99"/>
    <w:qFormat/>
    <w:rsid w:val="00A817F3"/>
    <w:pPr>
      <w:ind w:left="720" w:firstLine="709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9C4131"/>
    <w:pPr>
      <w:spacing w:before="100" w:beforeAutospacing="1" w:after="100" w:afterAutospacing="1" w:line="240" w:lineRule="auto"/>
      <w:ind w:firstLine="0"/>
      <w:jc w:val="lef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F3"/>
    <w:pPr>
      <w:spacing w:line="36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01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17F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1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01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017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3017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1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817F3"/>
    <w:rPr>
      <w:rFonts w:ascii="Arial" w:eastAsiaTheme="majorEastAsia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B301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301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301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30177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0177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77"/>
  </w:style>
  <w:style w:type="paragraph" w:styleId="Footer">
    <w:name w:val="footer"/>
    <w:basedOn w:val="Normal"/>
    <w:link w:val="FooterChar"/>
    <w:uiPriority w:val="99"/>
    <w:unhideWhenUsed/>
    <w:rsid w:val="00B30177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77"/>
  </w:style>
  <w:style w:type="paragraph" w:customStyle="1" w:styleId="a">
    <w:name w:val="ПРОГНОЗ_Заголовок"/>
    <w:basedOn w:val="Normal"/>
    <w:next w:val="Normal"/>
    <w:qFormat/>
    <w:rsid w:val="00A817F3"/>
    <w:pPr>
      <w:spacing w:after="520"/>
    </w:pPr>
    <w:rPr>
      <w:rFonts w:eastAsia="Calibri"/>
      <w:b/>
      <w:caps/>
    </w:rPr>
  </w:style>
  <w:style w:type="character" w:styleId="Strong">
    <w:name w:val="Strong"/>
    <w:uiPriority w:val="22"/>
    <w:qFormat/>
    <w:rsid w:val="00A817F3"/>
    <w:rPr>
      <w:b/>
      <w:bCs/>
    </w:rPr>
  </w:style>
  <w:style w:type="character" w:styleId="Emphasis">
    <w:name w:val="Emphasis"/>
    <w:qFormat/>
    <w:rsid w:val="00A817F3"/>
    <w:rPr>
      <w:i/>
      <w:iCs/>
    </w:rPr>
  </w:style>
  <w:style w:type="paragraph" w:styleId="ListParagraph">
    <w:name w:val="List Paragraph"/>
    <w:aliases w:val="ПАРАГРАФ"/>
    <w:basedOn w:val="Normal"/>
    <w:uiPriority w:val="99"/>
    <w:qFormat/>
    <w:rsid w:val="00A817F3"/>
    <w:pPr>
      <w:ind w:left="720" w:firstLine="709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9C4131"/>
    <w:pPr>
      <w:spacing w:before="100" w:beforeAutospacing="1" w:after="100" w:afterAutospacing="1" w:line="240" w:lineRule="auto"/>
      <w:ind w:firstLine="0"/>
      <w:jc w:val="lef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2014-05-08T12:58:00Z</dcterms:created>
  <dcterms:modified xsi:type="dcterms:W3CDTF">2014-05-08T12:59:00Z</dcterms:modified>
</cp:coreProperties>
</file>