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83" w:rsidRPr="00E17EB5" w:rsidRDefault="00945A83" w:rsidP="00945A83">
      <w:pPr>
        <w:spacing w:after="240"/>
        <w:jc w:val="center"/>
        <w:rPr>
          <w:rFonts w:ascii="Book Antiqua" w:hAnsi="Book Antiqua"/>
          <w:b/>
          <w:caps/>
          <w:lang w:val="ru-RU"/>
        </w:rPr>
      </w:pPr>
      <w:r>
        <w:rPr>
          <w:rFonts w:ascii="Book Antiqua" w:hAnsi="Book Antiqua"/>
          <w:b/>
          <w:lang w:val="ru-RU"/>
        </w:rPr>
        <w:t>ДОНОРНО-АКЦЕПТОРНЫЕ ПРОИЗВОДНЫЕ БЕНЗОТИАДИАЗОЛА С РАЗЛИЧНЫМИ</w:t>
      </w:r>
      <w:r w:rsidR="00AF45A9">
        <w:rPr>
          <w:rFonts w:ascii="Book Antiqua" w:hAnsi="Book Antiqua"/>
          <w:b/>
          <w:lang w:val="ru-RU"/>
        </w:rPr>
        <w:t xml:space="preserve"> </w:t>
      </w:r>
      <w:r>
        <w:rPr>
          <w:rFonts w:ascii="Book Antiqua" w:hAnsi="Book Antiqua"/>
          <w:b/>
          <w:lang w:val="ru-RU"/>
        </w:rPr>
        <w:t>КОНЦЕВЫМИ ЗАМЕСТИТЕЛЯМИ</w:t>
      </w:r>
    </w:p>
    <w:p w:rsidR="00945A83" w:rsidRPr="00B3124D" w:rsidRDefault="00945A83" w:rsidP="00945A83">
      <w:pPr>
        <w:spacing w:after="120"/>
        <w:jc w:val="center"/>
        <w:rPr>
          <w:rFonts w:ascii="Book Antiqua" w:hAnsi="Book Antiqua"/>
          <w:i/>
          <w:lang w:val="ru-RU"/>
        </w:rPr>
      </w:pPr>
      <w:r w:rsidRPr="00B3124D">
        <w:rPr>
          <w:rFonts w:ascii="Book Antiqua" w:hAnsi="Book Antiqua"/>
          <w:i/>
          <w:u w:val="single"/>
          <w:lang w:val="ru-RU"/>
        </w:rPr>
        <w:t>В. В. Попова</w:t>
      </w:r>
      <w:r>
        <w:rPr>
          <w:rFonts w:ascii="Book Antiqua" w:hAnsi="Book Antiqua"/>
          <w:i/>
          <w:lang w:val="ru-RU"/>
        </w:rPr>
        <w:t>, О. В. Борщев, Е. А. Свидченко, Н. М. Сурин, Л. Л. Левков, С. А. Пономаренко</w:t>
      </w:r>
    </w:p>
    <w:p w:rsidR="00945A83" w:rsidRPr="00B3124D" w:rsidRDefault="00945A83" w:rsidP="00945A83">
      <w:pPr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Институт синтетических полимерных материалов РАН </w:t>
      </w:r>
    </w:p>
    <w:p w:rsidR="00945A83" w:rsidRPr="00E17EB5" w:rsidRDefault="00945A83" w:rsidP="00945A83">
      <w:pPr>
        <w:spacing w:after="120"/>
        <w:jc w:val="center"/>
        <w:rPr>
          <w:rFonts w:ascii="Book Antiqua" w:hAnsi="Book Antiqua"/>
          <w:i/>
        </w:rPr>
      </w:pPr>
      <w:r w:rsidRPr="00945A83">
        <w:rPr>
          <w:rFonts w:ascii="Book Antiqua" w:hAnsi="Book Antiqua"/>
          <w:lang w:val="ru-RU"/>
        </w:rPr>
        <w:t>*</w:t>
      </w:r>
      <w:r w:rsidRPr="00E17EB5">
        <w:rPr>
          <w:rFonts w:ascii="Book Antiqua" w:hAnsi="Book Antiqua"/>
          <w:lang w:val="en-US"/>
        </w:rPr>
        <w:t>e</w:t>
      </w:r>
      <w:r w:rsidRPr="00945A83">
        <w:rPr>
          <w:rFonts w:ascii="Book Antiqua" w:hAnsi="Book Antiqua"/>
          <w:lang w:val="ru-RU"/>
        </w:rPr>
        <w:t>-</w:t>
      </w:r>
      <w:r w:rsidRPr="00E17EB5">
        <w:rPr>
          <w:rFonts w:ascii="Book Antiqua" w:hAnsi="Book Antiqua"/>
          <w:lang w:val="en-US"/>
        </w:rPr>
        <w:t>mail</w:t>
      </w:r>
      <w:r w:rsidRPr="00945A83">
        <w:rPr>
          <w:rFonts w:ascii="Book Antiqua" w:hAnsi="Book Antiqua"/>
          <w:lang w:val="ru-RU"/>
        </w:rPr>
        <w:t xml:space="preserve">: </w:t>
      </w:r>
      <w:r>
        <w:rPr>
          <w:rFonts w:ascii="Book Antiqua" w:hAnsi="Book Antiqua"/>
          <w:lang w:val="en-US"/>
        </w:rPr>
        <w:t>vv</w:t>
      </w:r>
      <w:r w:rsidRPr="00945A83">
        <w:rPr>
          <w:rFonts w:ascii="Book Antiqua" w:hAnsi="Book Antiqua"/>
          <w:lang w:val="ru-RU"/>
        </w:rPr>
        <w:t>.</w:t>
      </w:r>
      <w:r>
        <w:rPr>
          <w:rFonts w:ascii="Book Antiqua" w:hAnsi="Book Antiqua"/>
          <w:lang w:val="en-US"/>
        </w:rPr>
        <w:t>popova</w:t>
      </w:r>
      <w:r w:rsidRPr="00945A83">
        <w:rPr>
          <w:rFonts w:ascii="Book Antiqua" w:hAnsi="Book Antiqua"/>
          <w:lang w:val="ru-RU"/>
        </w:rPr>
        <w:t>@</w:t>
      </w:r>
      <w:r>
        <w:rPr>
          <w:rFonts w:ascii="Book Antiqua" w:hAnsi="Book Antiqua"/>
          <w:lang w:val="en-US"/>
        </w:rPr>
        <w:t>ispm</w:t>
      </w:r>
      <w:r w:rsidRPr="00945A83">
        <w:rPr>
          <w:rFonts w:ascii="Book Antiqua" w:hAnsi="Book Antiqua"/>
          <w:lang w:val="ru-RU"/>
        </w:rPr>
        <w:t>.</w:t>
      </w:r>
      <w:r>
        <w:rPr>
          <w:rFonts w:ascii="Book Antiqua" w:hAnsi="Book Antiqua"/>
          <w:lang w:val="en-US"/>
        </w:rPr>
        <w:t>ru</w:t>
      </w:r>
    </w:p>
    <w:p w:rsidR="00945A83" w:rsidRPr="004D6BDF" w:rsidRDefault="00945A83" w:rsidP="00945A83">
      <w:pPr>
        <w:jc w:val="both"/>
        <w:rPr>
          <w:rFonts w:ascii="Book Antiqua" w:hAnsi="Book Antiqua"/>
          <w:lang w:val="it-IT"/>
        </w:rPr>
      </w:pPr>
      <w:r w:rsidRPr="001357E5">
        <w:rPr>
          <w:rFonts w:ascii="Book Antiqua" w:hAnsi="Book Antiqua"/>
          <w:lang w:val="it-IT"/>
        </w:rPr>
        <w:t>Донорно-акцепторные системы высоко востребованы в разных областях органической электроники благодаря своим уникальным свойствам. Варьируя электронодонорные и электроноакцепторные фрагменты таких структур, возможно тонко настраивать оптические свойства соединений. В данной работе в качестве акцепторного блока используется 2,1,3</w:t>
      </w:r>
      <w:r w:rsidRPr="001357E5">
        <w:rPr>
          <w:rFonts w:ascii="Book Antiqua" w:hAnsi="Book Antiqua"/>
          <w:lang w:val="it-IT"/>
        </w:rPr>
        <w:noBreakHyphen/>
        <w:t xml:space="preserve">бензотиадиазол. Его исключительные электронные свойства позволяют </w:t>
      </w:r>
      <w:r w:rsidR="003E0742">
        <w:rPr>
          <w:rFonts w:ascii="Book Antiqua" w:hAnsi="Book Antiqua"/>
          <w:lang w:val="ru-RU"/>
        </w:rPr>
        <w:t>получать на его основе</w:t>
      </w:r>
      <w:r w:rsidRPr="001357E5">
        <w:rPr>
          <w:rFonts w:ascii="Book Antiqua" w:hAnsi="Book Antiqua"/>
          <w:lang w:val="it-IT"/>
        </w:rPr>
        <w:t xml:space="preserve"> эффективные люминофоры с различными донорными блоками </w:t>
      </w:r>
      <w:r w:rsidRPr="001357E5">
        <w:rPr>
          <w:rFonts w:ascii="Book Antiqua" w:hAnsi="Book Antiqua"/>
          <w:lang w:val="ru-RU"/>
        </w:rPr>
        <w:t>[</w:t>
      </w:r>
      <w:r w:rsidR="001F44ED" w:rsidRPr="001357E5">
        <w:rPr>
          <w:rStyle w:val="a5"/>
          <w:rFonts w:ascii="Book Antiqua" w:hAnsi="Book Antiqua"/>
          <w:vertAlign w:val="baseline"/>
          <w:lang w:val="ru-RU"/>
        </w:rPr>
        <w:endnoteReference w:id="1"/>
      </w:r>
      <w:r w:rsidRPr="001357E5">
        <w:rPr>
          <w:rFonts w:ascii="Book Antiqua" w:hAnsi="Book Antiqua"/>
          <w:lang w:val="ru-RU"/>
        </w:rPr>
        <w:t>,</w:t>
      </w:r>
      <w:r w:rsidR="001357E5">
        <w:rPr>
          <w:rFonts w:ascii="Book Antiqua" w:hAnsi="Book Antiqua"/>
          <w:lang w:val="ru-RU"/>
        </w:rPr>
        <w:t xml:space="preserve"> </w:t>
      </w:r>
      <w:r w:rsidR="001F44ED" w:rsidRPr="001357E5">
        <w:rPr>
          <w:rStyle w:val="a5"/>
          <w:rFonts w:ascii="Book Antiqua" w:hAnsi="Book Antiqua"/>
          <w:vertAlign w:val="baseline"/>
          <w:lang w:val="ru-RU"/>
        </w:rPr>
        <w:endnoteReference w:id="2"/>
      </w:r>
      <w:r w:rsidRPr="001357E5">
        <w:rPr>
          <w:rFonts w:ascii="Book Antiqua" w:hAnsi="Book Antiqua"/>
          <w:lang w:val="it-IT"/>
        </w:rPr>
        <w:t>].</w:t>
      </w:r>
    </w:p>
    <w:p w:rsidR="00945A83" w:rsidRPr="00E17EB5" w:rsidRDefault="00F138FE" w:rsidP="00945A83">
      <w:pPr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198.35pt">
            <v:imagedata r:id="rId7" o:title="lumos_2024"/>
          </v:shape>
        </w:pict>
      </w:r>
    </w:p>
    <w:p w:rsidR="00945A83" w:rsidRPr="004D6BDF" w:rsidRDefault="00945A83" w:rsidP="00945A83">
      <w:pPr>
        <w:spacing w:after="120"/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Рис</w:t>
      </w:r>
      <w:r w:rsidRPr="00297DC4">
        <w:rPr>
          <w:rFonts w:ascii="Book Antiqua" w:hAnsi="Book Antiqua"/>
          <w:lang w:val="ru-RU"/>
        </w:rPr>
        <w:t xml:space="preserve">. 1. </w:t>
      </w:r>
      <w:r w:rsidR="004D6BDF">
        <w:rPr>
          <w:rFonts w:ascii="Book Antiqua" w:hAnsi="Book Antiqua"/>
          <w:lang w:val="ru-RU"/>
        </w:rPr>
        <w:t>Химическая структура полученных соединений</w:t>
      </w:r>
    </w:p>
    <w:p w:rsidR="001F44ED" w:rsidRPr="001357E5" w:rsidRDefault="001F44ED" w:rsidP="001F44ED">
      <w:pPr>
        <w:jc w:val="both"/>
        <w:rPr>
          <w:rFonts w:ascii="Book Antiqua" w:hAnsi="Book Antiqua"/>
          <w:lang w:val="ru-RU"/>
        </w:rPr>
      </w:pPr>
      <w:r w:rsidRPr="001357E5">
        <w:rPr>
          <w:rFonts w:ascii="Book Antiqua" w:hAnsi="Book Antiqua"/>
          <w:lang w:val="it-IT"/>
        </w:rPr>
        <w:t xml:space="preserve">Основная цель работы – исследование взаимосвязи химической структуры и свойств </w:t>
      </w:r>
      <w:r w:rsidRPr="001357E5">
        <w:rPr>
          <w:rFonts w:ascii="Book Antiqua" w:hAnsi="Book Antiqua"/>
          <w:lang w:val="ru-RU"/>
        </w:rPr>
        <w:t>систем типа донор</w:t>
      </w:r>
      <w:r w:rsidRPr="001357E5">
        <w:rPr>
          <w:rFonts w:ascii="Book Antiqua" w:hAnsi="Book Antiqua"/>
          <w:lang w:val="ru-RU"/>
        </w:rPr>
        <w:noBreakHyphen/>
        <w:t>акцептор</w:t>
      </w:r>
      <w:r w:rsidRPr="001357E5">
        <w:rPr>
          <w:rFonts w:ascii="Book Antiqua" w:hAnsi="Book Antiqua"/>
          <w:lang w:val="ru-RU"/>
        </w:rPr>
        <w:noBreakHyphen/>
        <w:t>донор</w:t>
      </w:r>
      <w:r w:rsidRPr="001357E5">
        <w:rPr>
          <w:rFonts w:ascii="Book Antiqua" w:hAnsi="Book Antiqua"/>
          <w:lang w:val="it-IT"/>
        </w:rPr>
        <w:t xml:space="preserve">. Для этого был синтезирован ряд люминесцентных </w:t>
      </w:r>
      <w:r w:rsidR="00B739AC">
        <w:rPr>
          <w:rFonts w:ascii="Book Antiqua" w:hAnsi="Book Antiqua"/>
          <w:lang w:val="ru-RU"/>
        </w:rPr>
        <w:t>соединений</w:t>
      </w:r>
      <w:r w:rsidRPr="001357E5">
        <w:rPr>
          <w:rFonts w:ascii="Book Antiqua" w:hAnsi="Book Antiqua"/>
          <w:lang w:val="it-IT"/>
        </w:rPr>
        <w:t>, состоящих из электроноакце</w:t>
      </w:r>
      <w:r w:rsidR="00D702D3">
        <w:rPr>
          <w:rFonts w:ascii="Book Antiqua" w:hAnsi="Book Antiqua"/>
          <w:lang w:val="it-IT"/>
        </w:rPr>
        <w:t>пторного центра бензотиадиазола и</w:t>
      </w:r>
      <w:r w:rsidRPr="001357E5">
        <w:rPr>
          <w:rFonts w:ascii="Book Antiqua" w:hAnsi="Book Antiqua"/>
          <w:lang w:val="it-IT"/>
        </w:rPr>
        <w:t xml:space="preserve"> 1,4</w:t>
      </w:r>
      <w:r w:rsidRPr="001357E5">
        <w:rPr>
          <w:rFonts w:ascii="Book Antiqua" w:hAnsi="Book Antiqua"/>
          <w:lang w:val="it-IT"/>
        </w:rPr>
        <w:noBreakHyphen/>
        <w:t>диметилбензола,</w:t>
      </w:r>
      <w:r w:rsidRPr="001357E5">
        <w:rPr>
          <w:rFonts w:ascii="Book Antiqua" w:hAnsi="Book Antiqua"/>
          <w:lang w:val="ru-RU"/>
        </w:rPr>
        <w:t xml:space="preserve"> 1,3-диметилбензола,</w:t>
      </w:r>
      <w:r w:rsidRPr="001357E5">
        <w:rPr>
          <w:rFonts w:ascii="Book Antiqua" w:hAnsi="Book Antiqua"/>
          <w:lang w:val="it-IT"/>
        </w:rPr>
        <w:t xml:space="preserve"> бензольных </w:t>
      </w:r>
      <w:r w:rsidRPr="001357E5">
        <w:rPr>
          <w:rFonts w:ascii="Book Antiqua" w:hAnsi="Book Antiqua"/>
          <w:lang w:val="ru-RU"/>
        </w:rPr>
        <w:t>и тиофеновых фрагментов</w:t>
      </w:r>
      <w:r w:rsidR="00D702D3">
        <w:rPr>
          <w:rFonts w:ascii="Book Antiqua" w:hAnsi="Book Antiqua"/>
          <w:lang w:val="ru-RU"/>
        </w:rPr>
        <w:t>, присоединенных по 4,7</w:t>
      </w:r>
      <w:r w:rsidR="00D702D3">
        <w:rPr>
          <w:rFonts w:ascii="Book Antiqua" w:hAnsi="Book Antiqua"/>
          <w:lang w:val="ru-RU"/>
        </w:rPr>
        <w:noBreakHyphen/>
        <w:t>положениям акцептора</w:t>
      </w:r>
      <w:r w:rsidRPr="001357E5">
        <w:rPr>
          <w:rFonts w:ascii="Book Antiqua" w:hAnsi="Book Antiqua"/>
          <w:lang w:val="ru-RU"/>
        </w:rPr>
        <w:t xml:space="preserve"> </w:t>
      </w:r>
      <w:r w:rsidRPr="001357E5">
        <w:rPr>
          <w:rFonts w:ascii="Book Antiqua" w:hAnsi="Book Antiqua"/>
          <w:color w:val="000000"/>
          <w:lang w:val="ru-RU"/>
        </w:rPr>
        <w:t xml:space="preserve">с помощью </w:t>
      </w:r>
      <w:r w:rsidRPr="001357E5">
        <w:rPr>
          <w:rFonts w:ascii="Book Antiqua" w:hAnsi="Book Antiqua"/>
          <w:color w:val="000000"/>
        </w:rPr>
        <w:t>Pd</w:t>
      </w:r>
      <w:r w:rsidRPr="001357E5">
        <w:rPr>
          <w:rFonts w:ascii="Book Antiqua" w:hAnsi="Book Antiqua"/>
          <w:color w:val="000000"/>
          <w:lang w:val="ru-RU"/>
        </w:rPr>
        <w:noBreakHyphen/>
        <w:t>катализируемой реакции кросс-сочетания Сузуки. Для изучения кристаллической упаковки также были синтезированы молекулы с различными терминальными заместителями, такими как триметилсилан, гексильными и децильными цепями</w:t>
      </w:r>
      <w:bookmarkStart w:id="0" w:name="_GoBack"/>
      <w:bookmarkEnd w:id="0"/>
      <w:r w:rsidRPr="001357E5">
        <w:rPr>
          <w:rFonts w:ascii="Book Antiqua" w:hAnsi="Book Antiqua"/>
          <w:lang w:val="it-IT"/>
        </w:rPr>
        <w:t xml:space="preserve">. </w:t>
      </w:r>
    </w:p>
    <w:p w:rsidR="001F44ED" w:rsidRPr="001F44ED" w:rsidRDefault="001F44ED" w:rsidP="00945A83">
      <w:pPr>
        <w:pStyle w:val="AbsText"/>
        <w:ind w:firstLine="0"/>
        <w:rPr>
          <w:rFonts w:ascii="Book Antiqua" w:hAnsi="Book Antiqua"/>
        </w:rPr>
      </w:pPr>
    </w:p>
    <w:p w:rsidR="0034412A" w:rsidRPr="00E17EB5" w:rsidRDefault="00945A83" w:rsidP="00E17EB5">
      <w:pPr>
        <w:jc w:val="both"/>
        <w:rPr>
          <w:rFonts w:ascii="Book Antiqua" w:hAnsi="Book Antiqua"/>
          <w:i/>
          <w:lang w:val="ru-RU"/>
        </w:rPr>
      </w:pPr>
      <w:r w:rsidRPr="00E17EB5">
        <w:rPr>
          <w:rFonts w:ascii="Book Antiqua" w:hAnsi="Book Antiqua"/>
          <w:i/>
          <w:lang w:val="ru-RU"/>
        </w:rPr>
        <w:t xml:space="preserve">Работа выполнена при поддержке </w:t>
      </w:r>
      <w:r>
        <w:rPr>
          <w:rFonts w:ascii="Book Antiqua" w:hAnsi="Book Antiqua"/>
          <w:i/>
          <w:lang w:val="ru-RU"/>
        </w:rPr>
        <w:t>РНФ (проект № 22-13-00255</w:t>
      </w:r>
      <w:r w:rsidRPr="00E17EB5">
        <w:rPr>
          <w:rFonts w:ascii="Book Antiqua" w:hAnsi="Book Antiqua"/>
          <w:i/>
          <w:lang w:val="ru-RU"/>
        </w:rPr>
        <w:t>).</w:t>
      </w:r>
    </w:p>
    <w:sectPr w:rsidR="0034412A" w:rsidRPr="00E17EB5" w:rsidSect="00964B0F">
      <w:endnotePr>
        <w:numFmt w:val="decimal"/>
      </w:endnotePr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36" w:rsidRDefault="00350F36">
      <w:r>
        <w:separator/>
      </w:r>
    </w:p>
  </w:endnote>
  <w:endnote w:type="continuationSeparator" w:id="0">
    <w:p w:rsidR="00350F36" w:rsidRDefault="00350F36">
      <w:r>
        <w:continuationSeparator/>
      </w:r>
    </w:p>
  </w:endnote>
  <w:endnote w:id="1">
    <w:p w:rsidR="001F44ED" w:rsidRPr="001357E5" w:rsidRDefault="001F44ED" w:rsidP="001F44ED">
      <w:pPr>
        <w:pStyle w:val="a3"/>
        <w:jc w:val="both"/>
        <w:rPr>
          <w:rFonts w:ascii="Book Antiqua" w:hAnsi="Book Antiqua"/>
          <w:sz w:val="24"/>
          <w:szCs w:val="24"/>
        </w:rPr>
      </w:pPr>
      <w:r w:rsidRPr="001F44ED">
        <w:rPr>
          <w:rStyle w:val="a5"/>
          <w:sz w:val="24"/>
          <w:szCs w:val="24"/>
          <w:vertAlign w:val="baseline"/>
        </w:rPr>
        <w:endnoteRef/>
      </w:r>
      <w:r>
        <w:t xml:space="preserve"> </w:t>
      </w:r>
      <w:r w:rsidRPr="001357E5">
        <w:rPr>
          <w:rFonts w:ascii="Book Antiqua" w:hAnsi="Book Antiqua"/>
          <w:sz w:val="24"/>
          <w:szCs w:val="24"/>
        </w:rPr>
        <w:t xml:space="preserve">Skorotetcky M.S., Krivtsova E.D., Borshchev O.V., Surin N.M., Svidchenko E.A., Fedorov Y.V., Pisarev S.A., Ponomaremko S.A. </w:t>
      </w:r>
      <w:r w:rsidRPr="001357E5">
        <w:rPr>
          <w:rFonts w:ascii="Book Antiqua" w:hAnsi="Book Antiqua"/>
          <w:i/>
          <w:iCs/>
          <w:sz w:val="24"/>
          <w:szCs w:val="24"/>
        </w:rPr>
        <w:t>Dyes and Pigments</w:t>
      </w:r>
      <w:r w:rsidRPr="001357E5">
        <w:rPr>
          <w:rFonts w:ascii="Book Antiqua" w:hAnsi="Book Antiqua"/>
          <w:sz w:val="24"/>
          <w:szCs w:val="24"/>
        </w:rPr>
        <w:t xml:space="preserve">. 2018, </w:t>
      </w:r>
      <w:r w:rsidRPr="001357E5">
        <w:rPr>
          <w:rFonts w:ascii="Book Antiqua" w:hAnsi="Book Antiqua"/>
          <w:b/>
          <w:bCs/>
          <w:sz w:val="24"/>
          <w:szCs w:val="24"/>
        </w:rPr>
        <w:t>155</w:t>
      </w:r>
      <w:r w:rsidRPr="001357E5">
        <w:rPr>
          <w:rFonts w:ascii="Book Antiqua" w:hAnsi="Book Antiqua"/>
          <w:sz w:val="24"/>
          <w:szCs w:val="24"/>
        </w:rPr>
        <w:t>, 284-291.</w:t>
      </w:r>
    </w:p>
  </w:endnote>
  <w:endnote w:id="2">
    <w:p w:rsidR="001F44ED" w:rsidRPr="001357E5" w:rsidRDefault="001F44ED" w:rsidP="001F44ED">
      <w:pPr>
        <w:pStyle w:val="a3"/>
        <w:jc w:val="both"/>
        <w:rPr>
          <w:rFonts w:ascii="Book Antiqua" w:hAnsi="Book Antiqua"/>
          <w:sz w:val="24"/>
          <w:szCs w:val="24"/>
        </w:rPr>
      </w:pPr>
      <w:r w:rsidRPr="001357E5">
        <w:rPr>
          <w:rStyle w:val="a5"/>
          <w:rFonts w:ascii="Book Antiqua" w:hAnsi="Book Antiqua"/>
          <w:sz w:val="24"/>
          <w:szCs w:val="24"/>
          <w:vertAlign w:val="baseline"/>
        </w:rPr>
        <w:endnoteRef/>
      </w:r>
      <w:r w:rsidRPr="001357E5">
        <w:rPr>
          <w:rFonts w:ascii="Book Antiqua" w:hAnsi="Book Antiqua"/>
          <w:sz w:val="24"/>
          <w:szCs w:val="24"/>
        </w:rPr>
        <w:t xml:space="preserve"> Postnikov V.A., Lyasnikova M.S., Kulishov A.A., Sorokina N.I., Voloshin A.E., Skorotetcky M.S., Borshchev O.V., Ponomaremko S.A. </w:t>
      </w:r>
      <w:r w:rsidRPr="001357E5">
        <w:rPr>
          <w:rFonts w:ascii="Book Antiqua" w:hAnsi="Book Antiqua"/>
          <w:i/>
          <w:iCs/>
          <w:sz w:val="24"/>
          <w:szCs w:val="24"/>
        </w:rPr>
        <w:t>Physics of the solid state</w:t>
      </w:r>
      <w:r w:rsidRPr="001357E5">
        <w:rPr>
          <w:rFonts w:ascii="Book Antiqua" w:hAnsi="Book Antiqua"/>
          <w:sz w:val="24"/>
          <w:szCs w:val="24"/>
        </w:rPr>
        <w:t xml:space="preserve">. 2019, </w:t>
      </w:r>
      <w:r w:rsidRPr="001357E5">
        <w:rPr>
          <w:rFonts w:ascii="Book Antiqua" w:hAnsi="Book Antiqua"/>
          <w:b/>
          <w:bCs/>
          <w:sz w:val="24"/>
          <w:szCs w:val="24"/>
        </w:rPr>
        <w:t>61</w:t>
      </w:r>
      <w:r w:rsidRPr="001357E5">
        <w:rPr>
          <w:rFonts w:ascii="Book Antiqua" w:hAnsi="Book Antiqua"/>
          <w:sz w:val="24"/>
          <w:szCs w:val="24"/>
        </w:rPr>
        <w:t>(12), 2322-2355.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36" w:rsidRDefault="00350F36">
      <w:r>
        <w:separator/>
      </w:r>
    </w:p>
  </w:footnote>
  <w:footnote w:type="continuationSeparator" w:id="0">
    <w:p w:rsidR="00350F36" w:rsidRDefault="0035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EC"/>
    <w:rsid w:val="000428AD"/>
    <w:rsid w:val="0007416C"/>
    <w:rsid w:val="000B0A80"/>
    <w:rsid w:val="000D2AE0"/>
    <w:rsid w:val="00117675"/>
    <w:rsid w:val="001357E5"/>
    <w:rsid w:val="00143DC6"/>
    <w:rsid w:val="00151800"/>
    <w:rsid w:val="00152E68"/>
    <w:rsid w:val="001B7760"/>
    <w:rsid w:val="001C2632"/>
    <w:rsid w:val="001D3F2C"/>
    <w:rsid w:val="001F44ED"/>
    <w:rsid w:val="001F4929"/>
    <w:rsid w:val="00240F25"/>
    <w:rsid w:val="00253F32"/>
    <w:rsid w:val="00297DC4"/>
    <w:rsid w:val="00315641"/>
    <w:rsid w:val="00335279"/>
    <w:rsid w:val="0034412A"/>
    <w:rsid w:val="00350F36"/>
    <w:rsid w:val="00354066"/>
    <w:rsid w:val="00355B70"/>
    <w:rsid w:val="003A718E"/>
    <w:rsid w:val="003B03BB"/>
    <w:rsid w:val="003E0742"/>
    <w:rsid w:val="003F6E10"/>
    <w:rsid w:val="00405FE2"/>
    <w:rsid w:val="004209D7"/>
    <w:rsid w:val="00423912"/>
    <w:rsid w:val="004508D0"/>
    <w:rsid w:val="0048691D"/>
    <w:rsid w:val="004B1250"/>
    <w:rsid w:val="004D6BDF"/>
    <w:rsid w:val="00524B8E"/>
    <w:rsid w:val="0058310D"/>
    <w:rsid w:val="005A3091"/>
    <w:rsid w:val="005C3057"/>
    <w:rsid w:val="005D0AA2"/>
    <w:rsid w:val="006337DE"/>
    <w:rsid w:val="00677F1E"/>
    <w:rsid w:val="006A1BFE"/>
    <w:rsid w:val="0072659A"/>
    <w:rsid w:val="007501D8"/>
    <w:rsid w:val="007732D5"/>
    <w:rsid w:val="00784C6F"/>
    <w:rsid w:val="00796F51"/>
    <w:rsid w:val="00800E5B"/>
    <w:rsid w:val="00843448"/>
    <w:rsid w:val="008518BB"/>
    <w:rsid w:val="008A380A"/>
    <w:rsid w:val="008E3518"/>
    <w:rsid w:val="0093498D"/>
    <w:rsid w:val="00945A83"/>
    <w:rsid w:val="00964B0F"/>
    <w:rsid w:val="009A7E1B"/>
    <w:rsid w:val="009D1DB1"/>
    <w:rsid w:val="009E6B2D"/>
    <w:rsid w:val="00A36AC2"/>
    <w:rsid w:val="00AB02FB"/>
    <w:rsid w:val="00AB1538"/>
    <w:rsid w:val="00AC127E"/>
    <w:rsid w:val="00AF45A9"/>
    <w:rsid w:val="00B3124D"/>
    <w:rsid w:val="00B36D1C"/>
    <w:rsid w:val="00B44465"/>
    <w:rsid w:val="00B459A9"/>
    <w:rsid w:val="00B50EAE"/>
    <w:rsid w:val="00B739AC"/>
    <w:rsid w:val="00B73F49"/>
    <w:rsid w:val="00BA4F08"/>
    <w:rsid w:val="00BB3EB5"/>
    <w:rsid w:val="00BB76AF"/>
    <w:rsid w:val="00BC059F"/>
    <w:rsid w:val="00C23E47"/>
    <w:rsid w:val="00C3065E"/>
    <w:rsid w:val="00D11198"/>
    <w:rsid w:val="00D54388"/>
    <w:rsid w:val="00D552A6"/>
    <w:rsid w:val="00D614EC"/>
    <w:rsid w:val="00D61641"/>
    <w:rsid w:val="00D640F6"/>
    <w:rsid w:val="00D702D3"/>
    <w:rsid w:val="00DC1A37"/>
    <w:rsid w:val="00DD2A16"/>
    <w:rsid w:val="00E17EB5"/>
    <w:rsid w:val="00E2105A"/>
    <w:rsid w:val="00E323B2"/>
    <w:rsid w:val="00E407FA"/>
    <w:rsid w:val="00E43F96"/>
    <w:rsid w:val="00E61DEA"/>
    <w:rsid w:val="00E91A16"/>
    <w:rsid w:val="00E948F3"/>
    <w:rsid w:val="00E94D3A"/>
    <w:rsid w:val="00ED40F3"/>
    <w:rsid w:val="00ED7F01"/>
    <w:rsid w:val="00F138FE"/>
    <w:rsid w:val="00FA0618"/>
    <w:rsid w:val="00FB4BF1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15D53"/>
  <w15:chartTrackingRefBased/>
  <w15:docId w15:val="{E610CEB6-FA89-4C0E-AD7A-E76DFB7A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34412A"/>
    <w:rPr>
      <w:sz w:val="20"/>
      <w:szCs w:val="20"/>
    </w:rPr>
  </w:style>
  <w:style w:type="character" w:styleId="a5">
    <w:name w:val="endnote reference"/>
    <w:uiPriority w:val="99"/>
    <w:semiHidden/>
    <w:rsid w:val="0034412A"/>
    <w:rPr>
      <w:vertAlign w:val="superscript"/>
    </w:rPr>
  </w:style>
  <w:style w:type="paragraph" w:customStyle="1" w:styleId="AbsText">
    <w:name w:val="Abs_Text"/>
    <w:basedOn w:val="a"/>
    <w:rsid w:val="003B03BB"/>
    <w:pPr>
      <w:ind w:firstLine="454"/>
      <w:jc w:val="both"/>
    </w:pPr>
    <w:rPr>
      <w:lang w:val="ru-RU"/>
    </w:rPr>
  </w:style>
  <w:style w:type="character" w:customStyle="1" w:styleId="a4">
    <w:name w:val="Текст концевой сноски Знак"/>
    <w:link w:val="a3"/>
    <w:uiPriority w:val="99"/>
    <w:semiHidden/>
    <w:rsid w:val="001F44ED"/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CB55-051C-4645-BACF-76D2606B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Controlled Interphases in Biopolymer Systems</vt:lpstr>
      <vt:lpstr>Controlled Interphases in Biopolymer Systems</vt:lpstr>
    </vt:vector>
  </TitlesOfParts>
  <Company>BME-PT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Interphases in Biopolymer Systems</dc:title>
  <dc:subject/>
  <dc:creator>lab1</dc:creator>
  <cp:keywords/>
  <cp:lastModifiedBy>User</cp:lastModifiedBy>
  <cp:revision>18</cp:revision>
  <cp:lastPrinted>2005-02-07T17:24:00Z</cp:lastPrinted>
  <dcterms:created xsi:type="dcterms:W3CDTF">2023-10-09T20:03:00Z</dcterms:created>
  <dcterms:modified xsi:type="dcterms:W3CDTF">2024-01-19T14:12:00Z</dcterms:modified>
</cp:coreProperties>
</file>