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Гусарова Д.С.</w:t>
      </w:r>
      <w:r>
        <w:rPr>
          <w:vertAlign w:val="superscript"/>
        </w:rPr>
        <w:t xml:space="preserve">1</w:t>
      </w:r>
      <w:r>
        <w:t xml:space="preserve">, Яблонская Д.А.</w:t>
      </w:r>
      <w:r>
        <w:rPr>
          <w:vertAlign w:val="superscript"/>
        </w:rPr>
        <w:t xml:space="preserve">1</w:t>
      </w:r>
      <w:r>
        <w:t xml:space="preserve">, Липатникова О.А.</w:t>
      </w:r>
      <w:r>
        <w:rPr>
          <w:vertAlign w:val="superscript"/>
        </w:rPr>
        <w:t xml:space="preserve">1</w:t>
      </w:r>
      <w:r>
        <w:t xml:space="preserve">, </w:t>
      </w:r>
      <w:r/>
    </w:p>
    <w:p>
      <w:pPr>
        <w:jc w:val="center"/>
        <w:rPr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Лубкова Т.Н.</w:t>
      </w:r>
      <w:r>
        <w:rPr>
          <w:vertAlign w:val="superscript"/>
        </w:rPr>
        <w:t xml:space="preserve">1</w:t>
      </w:r>
      <w:r>
        <w:t xml:space="preserve">, Филатова О.А.</w:t>
      </w:r>
      <w:r>
        <w:rPr>
          <w:vertAlign w:val="superscript"/>
        </w:rPr>
        <w:t xml:space="preserve">1</w:t>
      </w:r>
      <w:r>
        <w:br/>
      </w:r>
      <w:r>
        <w:rPr>
          <w:b/>
          <w:color w:val="000000"/>
        </w:rPr>
        <w:t xml:space="preserve">ОЦЕНКА </w:t>
      </w:r>
      <w:r>
        <w:rPr>
          <w:b/>
          <w:color w:val="000000"/>
        </w:rPr>
        <w:t xml:space="preserve">В</w:t>
      </w:r>
      <w:r>
        <w:rPr>
          <w:b/>
          <w:color w:val="000000"/>
        </w:rPr>
        <w:t xml:space="preserve">ЛИЯНИ</w:t>
      </w:r>
      <w:r>
        <w:rPr>
          <w:b/>
          <w:color w:val="000000"/>
        </w:rPr>
        <w:t xml:space="preserve">Я</w:t>
      </w:r>
      <w:r>
        <w:rPr>
          <w:b/>
          <w:color w:val="000000"/>
        </w:rPr>
        <w:t xml:space="preserve"> ТЕХНОГЕНН</w:t>
      </w:r>
      <w:r>
        <w:rPr>
          <w:b/>
          <w:color w:val="000000"/>
        </w:rPr>
        <w:t xml:space="preserve">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НАГРУЗКИ</w:t>
      </w:r>
      <w:r>
        <w:rPr>
          <w:b/>
          <w:color w:val="000000"/>
        </w:rPr>
        <w:t xml:space="preserve"> НА СОСТАВ ПОДЗЕМНЫХ ВОД (НА ПРИМЕРЕ РОДНИКОВ СЕВЕРО-ВОСТОКА МОСКОВСКОЙ ОБЛАСТИ)</w:t>
      </w:r>
      <w:r>
        <w:rPr>
          <w:b/>
          <w:color w:val="000000"/>
        </w:rPr>
      </w:r>
    </w:p>
    <w:p>
      <w:pPr>
        <w:jc w:val="center"/>
        <w:keepLines/>
        <w:keepNext/>
        <w:rPr>
          <w:i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z w:val="22"/>
          <w:szCs w:val="22"/>
          <w:vertAlign w:val="superscript"/>
        </w:rPr>
        <w:t xml:space="preserve">1</w:t>
      </w:r>
      <w:r>
        <w:rPr>
          <w:i/>
          <w:color w:val="000000"/>
          <w:sz w:val="22"/>
          <w:szCs w:val="22"/>
        </w:rPr>
        <w:t xml:space="preserve">Московский государственный университет имени М.В.Ломоносова, геологический факультет</w:t>
      </w:r>
      <w:r>
        <w:rPr>
          <w:i/>
          <w:color w:val="000000"/>
          <w:sz w:val="22"/>
          <w:szCs w:val="22"/>
        </w:rPr>
      </w:r>
    </w:p>
    <w:p>
      <w:pPr>
        <w:jc w:val="center"/>
        <w:keepLines/>
        <w:keepNext/>
        <w:spacing w:before="240" w:after="240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В работе </w:t>
      </w:r>
      <w:r>
        <w:rPr>
          <w:color w:val="000000"/>
        </w:rPr>
        <w:t xml:space="preserve">оценено</w:t>
      </w:r>
      <w:r>
        <w:rPr>
          <w:color w:val="000000"/>
        </w:rPr>
        <w:t xml:space="preserve"> влияние техногенной нагрузки на состав</w:t>
      </w:r>
      <w:r>
        <w:rPr>
          <w:color w:val="000000"/>
        </w:rPr>
        <w:t xml:space="preserve"> родниковых вод территорий Богородского и Лосино-Петровского городских округов</w:t>
      </w:r>
      <w:r>
        <w:rPr>
          <w:color w:val="000000"/>
        </w:rPr>
        <w:t xml:space="preserve"> </w:t>
      </w:r>
      <w:r>
        <w:rPr>
          <w:color w:val="000000"/>
        </w:rPr>
        <w:t xml:space="preserve">Московской области</w:t>
      </w:r>
      <w:r>
        <w:rPr>
          <w:color w:val="000000"/>
        </w:rPr>
        <w:t xml:space="preserve">. </w:t>
      </w:r>
      <w:r>
        <w:rPr>
          <w:color w:val="000000"/>
        </w:rPr>
        <w:t xml:space="preserve">Определено, что в</w:t>
      </w:r>
      <w:r>
        <w:rPr>
          <w:color w:val="000000"/>
        </w:rPr>
        <w:t xml:space="preserve">оды </w:t>
      </w:r>
      <w:r>
        <w:rPr>
          <w:color w:val="000000"/>
        </w:rPr>
        <w:t xml:space="preserve">родник</w:t>
      </w:r>
      <w:r>
        <w:rPr>
          <w:color w:val="000000"/>
        </w:rPr>
        <w:t xml:space="preserve">ов локализованы в четвертичных отложениях </w:t>
      </w:r>
      <w:r>
        <w:rPr>
          <w:color w:val="000000"/>
        </w:rPr>
        <w:t xml:space="preserve">и </w:t>
      </w:r>
      <w:r>
        <w:rPr>
          <w:color w:val="000000"/>
        </w:rPr>
        <w:t xml:space="preserve">характеризуются повышенным содержанием</w:t>
      </w:r>
      <w:r>
        <w:rPr>
          <w:color w:val="000000"/>
        </w:rPr>
        <w:t xml:space="preserve"> </w:t>
      </w:r>
      <w:r>
        <w:rPr>
          <w:color w:val="000000"/>
        </w:rPr>
        <w:t xml:space="preserve">соединений азота</w:t>
      </w:r>
      <w:r>
        <w:rPr>
          <w:color w:val="000000"/>
        </w:rPr>
        <w:t xml:space="preserve">, ионов </w:t>
      </w:r>
      <w:r>
        <w:rPr>
          <w:color w:val="000000"/>
          <w:lang w:val="en-US"/>
        </w:rPr>
        <w:t xml:space="preserve">SO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2-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Cl</w:t>
      </w:r>
      <w:r>
        <w:rPr>
          <w:color w:val="000000"/>
          <w:vertAlign w:val="superscript"/>
        </w:rPr>
        <w:t xml:space="preserve">-</w:t>
      </w:r>
      <w:r>
        <w:rPr>
          <w:color w:val="000000"/>
        </w:rPr>
        <w:t xml:space="preserve">, </w:t>
      </w:r>
      <w:r>
        <w:rPr>
          <w:color w:val="000000"/>
        </w:rPr>
        <w:t xml:space="preserve">что </w:t>
      </w:r>
      <w:r>
        <w:rPr>
          <w:color w:val="000000"/>
        </w:rPr>
        <w:t xml:space="preserve">обусловлено</w:t>
      </w:r>
      <w:r>
        <w:rPr>
          <w:color w:val="000000"/>
        </w:rPr>
        <w:t xml:space="preserve"> утечками из канализации на селитебных территориях, </w:t>
      </w:r>
      <w:r>
        <w:rPr>
          <w:color w:val="000000"/>
        </w:rPr>
        <w:t xml:space="preserve">применением азотных и калийных удобрений </w:t>
      </w:r>
      <w:r>
        <w:rPr>
          <w:color w:val="000000"/>
        </w:rPr>
        <w:t xml:space="preserve">агропромышленными </w:t>
      </w:r>
      <w:r>
        <w:rPr>
          <w:color w:val="000000"/>
        </w:rPr>
        <w:t xml:space="preserve">предприятиями</w:t>
      </w:r>
      <w:r>
        <w:rPr>
          <w:color w:val="000000"/>
        </w:rPr>
        <w:t xml:space="preserve"> и</w:t>
      </w:r>
      <w:r>
        <w:rPr>
          <w:color w:val="000000"/>
        </w:rPr>
        <w:t xml:space="preserve"> обработкой дорог противогололедными реагентами. </w:t>
      </w:r>
      <w:r>
        <w:rPr>
          <w:color w:val="000000"/>
        </w:rPr>
        <w:t xml:space="preserve">П</w:t>
      </w:r>
      <w:r>
        <w:rPr>
          <w:color w:val="000000"/>
        </w:rPr>
        <w:t xml:space="preserve">ри этом п</w:t>
      </w:r>
      <w:r>
        <w:rPr>
          <w:color w:val="000000"/>
        </w:rPr>
        <w:t xml:space="preserve">ревышени</w:t>
      </w:r>
      <w:r>
        <w:rPr>
          <w:color w:val="000000"/>
        </w:rPr>
        <w:t xml:space="preserve">я</w:t>
      </w:r>
      <w:r>
        <w:rPr>
          <w:color w:val="000000"/>
        </w:rPr>
        <w:t xml:space="preserve"> ПДК</w:t>
      </w:r>
      <w:r>
        <w:rPr>
          <w:color w:val="000000"/>
        </w:rPr>
        <w:t xml:space="preserve"> для питьевых вод</w:t>
      </w:r>
      <w:r>
        <w:rPr>
          <w:color w:val="000000"/>
        </w:rPr>
        <w:t xml:space="preserve"> </w:t>
      </w:r>
      <w:r>
        <w:rPr>
          <w:color w:val="000000"/>
        </w:rPr>
        <w:t xml:space="preserve">отмечены</w:t>
      </w:r>
      <w:r>
        <w:rPr>
          <w:color w:val="000000"/>
        </w:rPr>
        <w:t xml:space="preserve"> </w:t>
      </w:r>
      <w:r>
        <w:rPr>
          <w:color w:val="000000"/>
        </w:rPr>
        <w:t xml:space="preserve">для величины</w:t>
      </w:r>
      <w:r>
        <w:rPr>
          <w:color w:val="000000"/>
        </w:rPr>
        <w:t xml:space="preserve"> ХПК</w:t>
      </w:r>
      <w:r>
        <w:rPr>
          <w:color w:val="000000"/>
        </w:rPr>
        <w:t xml:space="preserve">,</w:t>
      </w:r>
      <w:r>
        <w:rPr>
          <w:color w:val="000000"/>
        </w:rPr>
        <w:t xml:space="preserve"> содержани</w:t>
      </w:r>
      <w:r>
        <w:rPr>
          <w:color w:val="000000"/>
        </w:rPr>
        <w:t xml:space="preserve">й</w:t>
      </w:r>
      <w:r>
        <w:rPr>
          <w:color w:val="000000"/>
        </w:rPr>
        <w:t xml:space="preserve"> </w:t>
      </w:r>
      <w:r>
        <w:rPr>
          <w:color w:val="000000"/>
        </w:rPr>
        <w:t xml:space="preserve">ионов </w:t>
      </w:r>
      <w:r>
        <w:rPr>
          <w:color w:val="000000"/>
          <w:lang w:val="en-US"/>
        </w:rPr>
        <w:t xml:space="preserve">NO</w:t>
      </w:r>
      <w:r>
        <w:rPr>
          <w:color w:val="000000"/>
          <w:vertAlign w:val="subscript"/>
        </w:rPr>
        <w:t xml:space="preserve">3</w:t>
      </w:r>
      <w:r>
        <w:rPr>
          <w:color w:val="000000"/>
          <w:vertAlign w:val="superscript"/>
        </w:rPr>
        <w:t xml:space="preserve">-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NH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+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концентрации железа </w:t>
      </w:r>
      <w:r>
        <w:rPr>
          <w:color w:val="000000"/>
        </w:rPr>
        <w:t xml:space="preserve">в водах отдельных родников. </w:t>
      </w:r>
      <w:r>
        <w:rPr>
          <w:color w:val="000000"/>
        </w:rPr>
      </w:r>
    </w:p>
    <w:p>
      <w:pPr>
        <w:ind w:firstLine="284"/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Техногенная нагрузка на компоненты природной среды </w:t>
      </w:r>
      <w:r>
        <w:rPr>
          <w:color w:val="000000"/>
        </w:rPr>
        <w:t xml:space="preserve">Богородского и Лосино-Петровского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городских округов формируется за счёт </w:t>
      </w:r>
      <w:r>
        <w:rPr>
          <w:color w:val="000000"/>
        </w:rPr>
        <w:t xml:space="preserve">химико-фармацевтической и легкой промышленности, </w:t>
      </w:r>
      <w:r>
        <w:rPr>
          <w:color w:val="000000"/>
        </w:rPr>
        <w:t xml:space="preserve">производств</w:t>
      </w:r>
      <w:r>
        <w:rPr>
          <w:color w:val="000000"/>
        </w:rPr>
        <w:t xml:space="preserve">а</w:t>
      </w:r>
      <w:r>
        <w:rPr>
          <w:color w:val="000000"/>
        </w:rPr>
        <w:t xml:space="preserve"> пищевых продуктов, </w:t>
      </w:r>
      <w:r>
        <w:rPr>
          <w:color w:val="000000"/>
        </w:rPr>
        <w:t xml:space="preserve">электронного машиностроения, </w:t>
      </w:r>
      <w:r>
        <w:rPr>
          <w:color w:val="000000"/>
        </w:rPr>
        <w:t xml:space="preserve">агропромышленн</w:t>
      </w:r>
      <w:r>
        <w:rPr>
          <w:color w:val="000000"/>
        </w:rPr>
        <w:t xml:space="preserve">ого </w:t>
      </w:r>
      <w:r>
        <w:rPr>
          <w:color w:val="000000"/>
        </w:rPr>
        <w:t xml:space="preserve">комплекс</w:t>
      </w:r>
      <w:r>
        <w:rPr>
          <w:color w:val="000000"/>
        </w:rPr>
        <w:t xml:space="preserve">а</w:t>
      </w:r>
      <w:r>
        <w:rPr>
          <w:color w:val="000000"/>
        </w:rPr>
        <w:t xml:space="preserve">. В последние годы рост техногенной нагрузки на территории округов связан со строительством и реконструкцией федеральных автом</w:t>
      </w:r>
      <w:r>
        <w:rPr>
          <w:color w:val="000000"/>
        </w:rPr>
        <w:t xml:space="preserve">агистралей </w:t>
      </w:r>
      <w:r>
        <w:rPr>
          <w:color w:val="000000"/>
        </w:rPr>
        <w:t xml:space="preserve">с сопутствующим появлением крупных складских и транспортно-логистических центров и активным развитием </w:t>
      </w:r>
      <w:r>
        <w:rPr>
          <w:color w:val="000000"/>
        </w:rPr>
        <w:t xml:space="preserve">техно</w:t>
      </w:r>
      <w:r>
        <w:rPr>
          <w:color w:val="000000"/>
        </w:rPr>
        <w:t xml:space="preserve">парков</w:t>
      </w:r>
      <w:r>
        <w:rPr>
          <w:color w:val="000000"/>
        </w:rPr>
        <w:t xml:space="preserve"> </w:t>
      </w:r>
      <w:r>
        <w:rPr>
          <w:color w:val="000000"/>
        </w:rPr>
        <w:t xml:space="preserve">с одновременным развитием социальной инфраструктуры.</w:t>
      </w:r>
      <w:r>
        <w:rPr>
          <w:color w:val="000000"/>
        </w:rPr>
      </w:r>
    </w:p>
    <w:p>
      <w:pPr>
        <w:ind w:firstLine="284"/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Площади городских округов </w:t>
      </w:r>
      <w:r>
        <w:rPr>
          <w:color w:val="000000"/>
        </w:rPr>
        <w:t xml:space="preserve">расположены на территории Мещёрской низменности, в пределах развития девонских, верхнекаменно-угольных, верхнеюрских и нижнемеловых терригенно-карбонатных пород, перекрытых </w:t>
      </w:r>
      <w:r>
        <w:rPr>
          <w:color w:val="000000"/>
        </w:rPr>
        <w:t xml:space="preserve">современными, </w:t>
      </w:r>
      <w:r>
        <w:rPr>
          <w:color w:val="000000"/>
        </w:rPr>
        <w:t xml:space="preserve">средне- и позднечетвертичны</w:t>
      </w:r>
      <w:r>
        <w:rPr>
          <w:color w:val="000000"/>
        </w:rPr>
        <w:t xml:space="preserve">ми</w:t>
      </w:r>
      <w:r>
        <w:rPr>
          <w:color w:val="000000"/>
        </w:rPr>
        <w:t xml:space="preserve"> отложения</w:t>
      </w:r>
      <w:r>
        <w:rPr>
          <w:color w:val="000000"/>
        </w:rPr>
        <w:t xml:space="preserve">ми</w:t>
      </w:r>
      <w:r>
        <w:rPr>
          <w:color w:val="000000"/>
        </w:rPr>
        <w:t xml:space="preserve"> из флювиогляциальных и аллювиальных рыхлых песков мощностью до 15 м. [</w:t>
      </w:r>
      <w:r>
        <w:rPr>
          <w:color w:val="000000"/>
        </w:rPr>
        <w:t xml:space="preserve">1</w:t>
      </w:r>
      <w:r>
        <w:rPr>
          <w:color w:val="000000"/>
        </w:rPr>
        <w:t xml:space="preserve">]. Гидрогеологические условия </w:t>
      </w:r>
      <w:r>
        <w:rPr>
          <w:color w:val="000000"/>
        </w:rPr>
        <w:t xml:space="preserve">Московской области</w:t>
      </w:r>
      <w:r>
        <w:rPr>
          <w:color w:val="000000"/>
        </w:rPr>
        <w:t xml:space="preserve"> характеризуются наличием зоны активного водообмена, которая охватывает до 10 и более водоносных горизонтов</w:t>
      </w:r>
      <w:r>
        <w:rPr>
          <w:color w:val="000000"/>
        </w:rPr>
        <w:t xml:space="preserve"> </w:t>
      </w:r>
      <w:r>
        <w:rPr>
          <w:color w:val="000000"/>
        </w:rPr>
        <w:t xml:space="preserve">[2]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Поверхностные отложения проницаем</w:t>
      </w:r>
      <w:r>
        <w:rPr>
          <w:color w:val="000000"/>
        </w:rPr>
        <w:t xml:space="preserve">ы</w:t>
      </w:r>
      <w:r>
        <w:rPr>
          <w:color w:val="000000"/>
        </w:rPr>
        <w:t xml:space="preserve"> для </w:t>
      </w:r>
      <w:r>
        <w:rPr>
          <w:color w:val="000000"/>
        </w:rPr>
        <w:t xml:space="preserve">загрязненного поверхностного стока</w:t>
      </w:r>
      <w:r>
        <w:rPr>
          <w:color w:val="000000"/>
        </w:rPr>
        <w:t xml:space="preserve"> и неконтролируемых </w:t>
      </w:r>
      <w:r>
        <w:rPr>
          <w:color w:val="000000"/>
        </w:rPr>
        <w:t xml:space="preserve">канализационных</w:t>
      </w:r>
      <w:r>
        <w:rPr>
          <w:color w:val="000000"/>
        </w:rPr>
        <w:t xml:space="preserve"> </w:t>
      </w:r>
      <w:r>
        <w:rPr>
          <w:color w:val="000000"/>
        </w:rPr>
        <w:t xml:space="preserve">утечек</w:t>
      </w:r>
      <w:r>
        <w:rPr>
          <w:color w:val="000000"/>
        </w:rPr>
        <w:t xml:space="preserve">, что </w:t>
      </w:r>
      <w:r>
        <w:rPr>
          <w:color w:val="000000"/>
        </w:rPr>
        <w:t xml:space="preserve">приводит к снижению</w:t>
      </w:r>
      <w:r>
        <w:rPr>
          <w:color w:val="000000"/>
        </w:rPr>
        <w:t xml:space="preserve"> качеств</w:t>
      </w:r>
      <w:r>
        <w:rPr>
          <w:color w:val="000000"/>
        </w:rPr>
        <w:t xml:space="preserve">а</w:t>
      </w:r>
      <w:r>
        <w:rPr>
          <w:color w:val="000000"/>
        </w:rPr>
        <w:t xml:space="preserve"> подземных вод, широко использу</w:t>
      </w:r>
      <w:r>
        <w:rPr>
          <w:color w:val="000000"/>
        </w:rPr>
        <w:t xml:space="preserve">емых</w:t>
      </w:r>
      <w:r>
        <w:rPr>
          <w:color w:val="000000"/>
        </w:rPr>
        <w:t xml:space="preserve"> населением в качестве источника питьевой воды. </w:t>
      </w:r>
      <w:r>
        <w:rPr>
          <w:color w:val="000000"/>
        </w:rPr>
      </w:r>
    </w:p>
    <w:p>
      <w:pPr>
        <w:ind w:firstLine="284"/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О</w:t>
      </w:r>
      <w:r>
        <w:rPr>
          <w:color w:val="000000"/>
        </w:rPr>
        <w:t xml:space="preserve">пробование</w:t>
      </w:r>
      <w:r>
        <w:rPr>
          <w:color w:val="000000"/>
        </w:rPr>
        <w:t xml:space="preserve"> </w:t>
      </w:r>
      <w:r>
        <w:rPr>
          <w:color w:val="000000"/>
        </w:rPr>
        <w:t xml:space="preserve">родников </w:t>
      </w:r>
      <w:r>
        <w:rPr>
          <w:color w:val="000000"/>
        </w:rPr>
        <w:t xml:space="preserve">проводилось осенью</w:t>
      </w:r>
      <w:r>
        <w:rPr>
          <w:color w:val="000000"/>
        </w:rPr>
        <w:t xml:space="preserve"> 2022 года и </w:t>
      </w:r>
      <w:r>
        <w:rPr>
          <w:color w:val="000000"/>
        </w:rPr>
        <w:t xml:space="preserve">зимой</w:t>
      </w:r>
      <w:r>
        <w:rPr>
          <w:color w:val="000000"/>
        </w:rPr>
        <w:t xml:space="preserve"> 2023 года</w:t>
      </w:r>
      <w:r>
        <w:rPr>
          <w:color w:val="000000"/>
        </w:rPr>
        <w:t xml:space="preserve"> </w:t>
      </w:r>
      <w:r>
        <w:rPr>
          <w:color w:val="000000"/>
        </w:rPr>
        <w:t xml:space="preserve">(рис.1)</w:t>
      </w:r>
      <w:r>
        <w:rPr>
          <w:color w:val="000000"/>
        </w:rPr>
        <w:t xml:space="preserve">.</w:t>
      </w:r>
      <w:r>
        <w:rPr>
          <w:color w:val="000000"/>
        </w:rPr>
        <w:t xml:space="preserve"> Содержани</w:t>
      </w:r>
      <w:r>
        <w:rPr>
          <w:color w:val="000000"/>
        </w:rPr>
        <w:t xml:space="preserve">я</w:t>
      </w:r>
      <w:r>
        <w:rPr>
          <w:color w:val="000000"/>
        </w:rPr>
        <w:t xml:space="preserve"> ионов Ca</w:t>
      </w:r>
      <w:r>
        <w:rPr>
          <w:color w:val="000000"/>
          <w:vertAlign w:val="superscript"/>
        </w:rPr>
        <w:t xml:space="preserve">2+</w:t>
      </w:r>
      <w:r>
        <w:rPr>
          <w:color w:val="000000"/>
        </w:rPr>
        <w:t xml:space="preserve">, Mg</w:t>
      </w:r>
      <w:r>
        <w:rPr>
          <w:color w:val="000000"/>
          <w:vertAlign w:val="superscript"/>
        </w:rPr>
        <w:t xml:space="preserve">2+</w:t>
      </w:r>
      <w:r>
        <w:rPr>
          <w:color w:val="000000"/>
        </w:rPr>
        <w:t xml:space="preserve">, НСO</w:t>
      </w:r>
      <w:r>
        <w:rPr>
          <w:color w:val="000000"/>
          <w:vertAlign w:val="subscript"/>
        </w:rPr>
        <w:t xml:space="preserve">3</w:t>
      </w:r>
      <w:r>
        <w:rPr>
          <w:color w:val="000000"/>
          <w:vertAlign w:val="superscript"/>
        </w:rPr>
        <w:t xml:space="preserve">–</w:t>
      </w:r>
      <w:r>
        <w:rPr>
          <w:color w:val="000000"/>
        </w:rPr>
        <w:t xml:space="preserve">, Cl</w:t>
      </w:r>
      <w:r>
        <w:rPr>
          <w:color w:val="000000"/>
          <w:vertAlign w:val="superscript"/>
        </w:rPr>
        <w:t xml:space="preserve">-</w:t>
      </w:r>
      <w:r>
        <w:rPr>
          <w:color w:val="000000"/>
        </w:rPr>
        <w:t xml:space="preserve"> определ</w:t>
      </w:r>
      <w:r>
        <w:rPr>
          <w:color w:val="000000"/>
        </w:rPr>
        <w:t xml:space="preserve">ен</w:t>
      </w:r>
      <w:r>
        <w:rPr>
          <w:color w:val="000000"/>
        </w:rPr>
        <w:t xml:space="preserve">ы</w:t>
      </w:r>
      <w:r>
        <w:rPr>
          <w:color w:val="000000"/>
        </w:rPr>
        <w:t xml:space="preserve"> методом объемного титрования [</w:t>
      </w:r>
      <w:r>
        <w:rPr>
          <w:color w:val="000000"/>
        </w:rPr>
        <w:t xml:space="preserve">3</w:t>
      </w:r>
      <w:r>
        <w:rPr>
          <w:color w:val="000000"/>
        </w:rPr>
        <w:t xml:space="preserve">], NH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+</w:t>
      </w:r>
      <w:r>
        <w:rPr>
          <w:color w:val="000000"/>
        </w:rPr>
        <w:t xml:space="preserve"> и NO</w:t>
      </w:r>
      <w:r>
        <w:rPr>
          <w:color w:val="000000"/>
          <w:vertAlign w:val="subscript"/>
        </w:rPr>
        <w:t xml:space="preserve">3</w:t>
      </w:r>
      <w:r>
        <w:rPr>
          <w:color w:val="000000"/>
          <w:vertAlign w:val="superscript"/>
        </w:rPr>
        <w:t xml:space="preserve">–</w:t>
      </w:r>
      <w:r>
        <w:rPr>
          <w:color w:val="000000"/>
        </w:rPr>
        <w:t xml:space="preserve"> - методом потенциометрии, SO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2-</w:t>
      </w:r>
      <w:r>
        <w:rPr>
          <w:color w:val="000000"/>
        </w:rPr>
        <w:t xml:space="preserve"> - методом </w:t>
      </w:r>
      <w:r>
        <w:rPr>
          <w:color w:val="000000"/>
        </w:rPr>
        <w:t xml:space="preserve">РФА</w:t>
      </w:r>
      <w:r>
        <w:rPr>
          <w:color w:val="000000"/>
        </w:rPr>
        <w:t xml:space="preserve"> [</w:t>
      </w:r>
      <w:r>
        <w:rPr>
          <w:color w:val="000000"/>
        </w:rPr>
        <w:t xml:space="preserve">4</w:t>
      </w:r>
      <w:r>
        <w:rPr>
          <w:color w:val="000000"/>
        </w:rPr>
        <w:t xml:space="preserve">], значение ХПК - методом фотометрии</w:t>
      </w:r>
      <w:r>
        <w:rPr>
          <w:color w:val="000000"/>
        </w:rPr>
        <w:t xml:space="preserve"> </w:t>
      </w:r>
      <w:r>
        <w:rPr>
          <w:color w:val="000000"/>
        </w:rPr>
        <w:t xml:space="preserve">(</w:t>
      </w:r>
      <w:r>
        <w:rPr>
          <w:color w:val="000000"/>
        </w:rPr>
        <w:t xml:space="preserve">по </w:t>
      </w:r>
      <w:r>
        <w:rPr>
          <w:color w:val="000000"/>
        </w:rPr>
        <w:t xml:space="preserve">ГОСТ 31859-2012</w:t>
      </w:r>
      <w:r>
        <w:rPr>
          <w:color w:val="000000"/>
        </w:rPr>
        <w:t xml:space="preserve">)</w:t>
      </w:r>
      <w:r>
        <w:rPr>
          <w:color w:val="000000"/>
        </w:rPr>
        <w:t xml:space="preserve">, с</w:t>
      </w:r>
      <w:r>
        <w:rPr>
          <w:color w:val="000000"/>
        </w:rPr>
        <w:t xml:space="preserve">одержания К</w:t>
      </w:r>
      <w:r>
        <w:rPr>
          <w:color w:val="000000"/>
          <w:vertAlign w:val="superscript"/>
        </w:rPr>
        <w:t xml:space="preserve">+</w:t>
      </w:r>
      <w:r>
        <w:rPr>
          <w:color w:val="000000"/>
        </w:rPr>
        <w:t xml:space="preserve">, Na</w:t>
      </w:r>
      <w:r>
        <w:rPr>
          <w:color w:val="000000"/>
          <w:vertAlign w:val="superscript"/>
        </w:rPr>
        <w:t xml:space="preserve">+</w:t>
      </w:r>
      <w:r>
        <w:rPr>
          <w:color w:val="000000"/>
        </w:rPr>
        <w:t xml:space="preserve"> и микроэлементов </w:t>
      </w:r>
      <w:r>
        <w:rPr>
          <w:color w:val="000000"/>
        </w:rPr>
        <w:t xml:space="preserve">получены</w:t>
      </w:r>
      <w:r>
        <w:rPr>
          <w:color w:val="000000"/>
        </w:rPr>
        <w:t xml:space="preserve"> </w:t>
      </w:r>
      <w:r>
        <w:rPr>
          <w:color w:val="000000"/>
        </w:rPr>
        <w:t xml:space="preserve">методом ИСП-МС </w:t>
      </w:r>
      <w:r>
        <w:rPr>
          <w:color w:val="000000"/>
        </w:rPr>
        <w:t xml:space="preserve">с использованием оборудования для высокочувствительного элементного анализа состава природных объектов SUPEC 7000, Focused Photonics Inc</w:t>
      </w:r>
      <w:r>
        <w:rPr>
          <w:color w:val="000000"/>
        </w:rPr>
        <w:t xml:space="preserve"> </w:t>
      </w:r>
      <w:r>
        <w:rPr>
          <w:color w:val="000000"/>
        </w:rPr>
        <w:t xml:space="preserve">(</w:t>
      </w:r>
      <w:r>
        <w:rPr>
          <w:color w:val="000000"/>
        </w:rPr>
        <w:t xml:space="preserve">приобретен по Программе развития МГУ</w:t>
      </w:r>
      <w:r>
        <w:rPr>
          <w:color w:val="000000"/>
        </w:rPr>
        <w:t xml:space="preserve">).</w:t>
      </w:r>
      <w:r>
        <w:rPr>
          <w:color w:val="000000"/>
        </w:rPr>
      </w:r>
    </w:p>
    <w:p>
      <w:pPr>
        <w:ind w:firstLine="284"/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Установлено, что</w:t>
      </w:r>
      <w:r>
        <w:rPr>
          <w:color w:val="000000"/>
        </w:rPr>
        <w:t xml:space="preserve"> воды родников </w:t>
      </w:r>
      <w:r>
        <w:rPr>
          <w:color w:val="000000"/>
        </w:rPr>
        <w:t xml:space="preserve">слабокислые</w:t>
      </w:r>
      <w:r>
        <w:rPr>
          <w:color w:val="000000"/>
        </w:rPr>
        <w:t xml:space="preserve">-нейтральные (рН</w:t>
      </w:r>
      <w:r>
        <w:rPr>
          <w:color w:val="000000"/>
        </w:rPr>
        <w:t xml:space="preserve"> </w:t>
      </w:r>
      <w:r>
        <w:rPr>
          <w:color w:val="000000"/>
        </w:rPr>
        <w:t xml:space="preserve">5,4-7,5) с минерализацией от</w:t>
      </w:r>
      <w:r>
        <w:rPr>
          <w:color w:val="000000"/>
        </w:rPr>
        <w:t xml:space="preserve"> 0,1 до 0,5 г/л</w:t>
      </w:r>
      <w:r>
        <w:rPr>
          <w:color w:val="000000"/>
        </w:rPr>
        <w:t xml:space="preserve">)</w:t>
      </w:r>
      <w:r>
        <w:rPr>
          <w:color w:val="000000"/>
        </w:rPr>
        <w:t xml:space="preserve">, </w:t>
      </w:r>
      <w:r>
        <w:rPr>
          <w:color w:val="000000"/>
        </w:rPr>
        <w:t xml:space="preserve">по величине жесткости </w:t>
      </w:r>
      <w:r>
        <w:rPr>
          <w:color w:val="000000"/>
        </w:rPr>
        <w:t xml:space="preserve">очень мягкие и мягкие (</w:t>
      </w:r>
      <w:r>
        <w:rPr>
          <w:color w:val="000000"/>
        </w:rPr>
        <w:t xml:space="preserve">&lt;</w:t>
      </w:r>
      <w:r>
        <w:rPr>
          <w:color w:val="000000"/>
        </w:rPr>
        <w:t xml:space="preserve">1,5 до 4,0 мг-экв/л) </w:t>
      </w:r>
      <w:r>
        <w:rPr>
          <w:color w:val="000000"/>
        </w:rPr>
        <w:t xml:space="preserve">до </w:t>
      </w:r>
      <w:r>
        <w:rPr>
          <w:color w:val="000000"/>
        </w:rPr>
        <w:t xml:space="preserve">средни</w:t>
      </w:r>
      <w:r>
        <w:rPr>
          <w:color w:val="000000"/>
        </w:rPr>
        <w:t xml:space="preserve">х</w:t>
      </w:r>
      <w:r>
        <w:rPr>
          <w:color w:val="000000"/>
        </w:rPr>
        <w:t xml:space="preserve"> (4,9</w:t>
      </w:r>
      <w:r>
        <w:rPr>
          <w:color w:val="000000"/>
        </w:rPr>
        <w:t xml:space="preserve">-</w:t>
      </w:r>
      <w:r>
        <w:rPr>
          <w:color w:val="000000"/>
        </w:rPr>
        <w:t xml:space="preserve">5,6 мг-экв/л</w:t>
      </w:r>
      <w:r>
        <w:rPr>
          <w:color w:val="000000"/>
        </w:rPr>
        <w:t xml:space="preserve">)</w:t>
      </w:r>
      <w:r>
        <w:rPr>
          <w:color w:val="000000"/>
        </w:rPr>
        <w:t xml:space="preserve">. </w:t>
      </w:r>
      <w:r>
        <w:rPr>
          <w:color w:val="000000"/>
        </w:rPr>
        <w:t xml:space="preserve">Величина ХПК в </w:t>
      </w:r>
      <w:r>
        <w:rPr>
          <w:color w:val="000000"/>
        </w:rPr>
        <w:t xml:space="preserve">водах в целом менее 10 мгО/л</w:t>
      </w:r>
      <w:r>
        <w:rPr>
          <w:color w:val="000000"/>
        </w:rPr>
        <w:t xml:space="preserve">, в </w:t>
      </w:r>
      <w:r>
        <w:rPr>
          <w:color w:val="000000"/>
        </w:rPr>
        <w:t xml:space="preserve">родник</w:t>
      </w:r>
      <w:r>
        <w:rPr>
          <w:color w:val="000000"/>
        </w:rPr>
        <w:t xml:space="preserve">е</w:t>
      </w:r>
      <w:r>
        <w:rPr>
          <w:color w:val="000000"/>
        </w:rPr>
        <w:t xml:space="preserve"> 9 </w:t>
      </w:r>
      <w:r>
        <w:rPr>
          <w:color w:val="000000"/>
        </w:rPr>
        <w:t xml:space="preserve">-</w:t>
      </w:r>
      <w:r>
        <w:rPr>
          <w:color w:val="000000"/>
        </w:rPr>
        <w:t xml:space="preserve"> 18 мгО/л</w:t>
      </w:r>
      <w:r>
        <w:rPr>
          <w:color w:val="000000"/>
        </w:rPr>
        <w:t xml:space="preserve">, что превышает ПДК</w:t>
      </w:r>
      <w:r>
        <w:rPr>
          <w:color w:val="000000"/>
        </w:rPr>
        <w:t xml:space="preserve"> </w:t>
      </w:r>
      <w:r>
        <w:rPr>
          <w:color w:val="000000"/>
        </w:rPr>
        <w:t xml:space="preserve">для питьевых вод</w:t>
      </w:r>
      <w:r>
        <w:rPr>
          <w:color w:val="000000"/>
        </w:rPr>
        <w:t xml:space="preserve">. Содержание нитрат-иона в</w:t>
      </w:r>
      <w:r>
        <w:rPr>
          <w:color w:val="000000"/>
        </w:rPr>
        <w:t xml:space="preserve"> среднем </w:t>
      </w:r>
      <w:r>
        <w:rPr>
          <w:color w:val="000000"/>
        </w:rPr>
        <w:t xml:space="preserve">менее</w:t>
      </w:r>
      <w:r>
        <w:rPr>
          <w:color w:val="000000"/>
        </w:rPr>
        <w:t xml:space="preserve"> 1</w:t>
      </w:r>
      <w:r>
        <w:rPr>
          <w:color w:val="000000"/>
        </w:rPr>
        <w:t xml:space="preserve">2</w:t>
      </w:r>
      <w:r>
        <w:rPr>
          <w:color w:val="000000"/>
        </w:rPr>
        <w:t xml:space="preserve"> мг/л, </w:t>
      </w:r>
      <w:r>
        <w:rPr>
          <w:color w:val="000000"/>
        </w:rPr>
        <w:t xml:space="preserve">иона аммония – 0,8 мг/л. </w:t>
      </w:r>
      <w:r>
        <w:rPr>
          <w:color w:val="000000"/>
        </w:rPr>
        <w:t xml:space="preserve">П</w:t>
      </w:r>
      <w:r>
        <w:rPr>
          <w:color w:val="000000"/>
        </w:rPr>
        <w:t xml:space="preserve">овышенным</w:t>
      </w:r>
      <w:r>
        <w:rPr>
          <w:color w:val="000000"/>
        </w:rPr>
        <w:t xml:space="preserve"> </w:t>
      </w:r>
      <w:r>
        <w:rPr>
          <w:color w:val="000000"/>
        </w:rPr>
        <w:t xml:space="preserve">содержанием соединений азота в воде</w:t>
      </w:r>
      <w:r>
        <w:rPr>
          <w:color w:val="000000"/>
        </w:rPr>
        <w:t xml:space="preserve"> отличаются р</w:t>
      </w:r>
      <w:r>
        <w:rPr>
          <w:color w:val="000000"/>
        </w:rPr>
        <w:t xml:space="preserve">одник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t xml:space="preserve">3, 4, 5, 9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NH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+</w:t>
      </w:r>
      <w:r>
        <w:rPr>
          <w:color w:val="000000"/>
        </w:rPr>
        <w:t xml:space="preserve"> - 1,8-6,3 мг/л</w:t>
      </w:r>
      <w:r>
        <w:rPr>
          <w:color w:val="000000"/>
        </w:rPr>
        <w:t xml:space="preserve"> (превышает ПДК для питьевых вод),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NO</w:t>
      </w:r>
      <w:r>
        <w:rPr>
          <w:color w:val="000000"/>
          <w:vertAlign w:val="subscript"/>
        </w:rPr>
        <w:t xml:space="preserve">3</w:t>
      </w:r>
      <w:r>
        <w:rPr>
          <w:color w:val="000000"/>
          <w:vertAlign w:val="superscript"/>
        </w:rPr>
        <w:t xml:space="preserve">-</w:t>
      </w:r>
      <w:r>
        <w:rPr>
          <w:color w:val="000000"/>
        </w:rPr>
        <w:t xml:space="preserve"> - 26</w:t>
      </w:r>
      <w:r>
        <w:rPr>
          <w:color w:val="000000"/>
        </w:rPr>
        <w:t xml:space="preserve">,</w:t>
      </w:r>
      <w:r>
        <w:rPr>
          <w:color w:val="000000"/>
        </w:rPr>
        <w:t xml:space="preserve">5-</w:t>
      </w:r>
      <w:r>
        <w:rPr>
          <w:color w:val="000000"/>
        </w:rPr>
        <w:t xml:space="preserve">37,4 мг/л, в роднике 5 - </w:t>
      </w:r>
      <w:r>
        <w:rPr>
          <w:color w:val="000000"/>
        </w:rPr>
        <w:t xml:space="preserve">46</w:t>
      </w:r>
      <w:r>
        <w:rPr>
          <w:color w:val="000000"/>
        </w:rPr>
        <w:t xml:space="preserve">,4 мг/л</w:t>
      </w:r>
      <w:r>
        <w:rPr>
          <w:color w:val="000000"/>
        </w:rPr>
        <w:t xml:space="preserve"> (превышает ПДК для питьевых вод).</w:t>
      </w:r>
      <w:r>
        <w:rPr>
          <w:color w:val="000000"/>
        </w:rPr>
      </w:r>
    </w:p>
    <w:p>
      <w:pPr>
        <w:jc w:val="both"/>
        <w:spacing w:before="120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29074" cy="2390775"/>
                <wp:effectExtent l="19050" t="19050" r="1016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Ногинск-чб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2418" r="0" b="10942"/>
                        <a:stretch/>
                      </pic:blipFill>
                      <pic:spPr bwMode="auto">
                        <a:xfrm>
                          <a:off x="0" y="0"/>
                          <a:ext cx="4032250" cy="2392659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7.25pt;height:188.25pt;mso-wrap-distance-left:0.00pt;mso-wrap-distance-top:0.00pt;mso-wrap-distance-right:0.00pt;mso-wrap-distance-bottom:0.00pt;" strokecolor="#000000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both"/>
        <w:spacing w:after="120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</w:rPr>
        <w:t xml:space="preserve">Рис.1.</w:t>
      </w:r>
      <w:r>
        <w:rPr>
          <w:color w:val="000000"/>
        </w:rPr>
        <w:t xml:space="preserve"> </w:t>
      </w:r>
      <w:r>
        <w:rPr>
          <w:color w:val="000000"/>
        </w:rPr>
        <w:t xml:space="preserve">Расположение точек опробования и м</w:t>
      </w:r>
      <w:r>
        <w:rPr>
          <w:color w:val="000000"/>
        </w:rPr>
        <w:t xml:space="preserve">акрокомпонентный состав вод родников. Основа составлена по материалам [</w:t>
      </w:r>
      <w:r>
        <w:rPr>
          <w:color w:val="000000"/>
        </w:rPr>
        <w:t xml:space="preserve">5</w:t>
      </w:r>
      <w:r>
        <w:rPr>
          <w:color w:val="000000"/>
        </w:rPr>
        <w:t xml:space="preserve">]</w:t>
      </w:r>
      <w:r>
        <w:rPr>
          <w:color w:val="000000"/>
        </w:rPr>
        <w:t xml:space="preserve">, </w:t>
      </w:r>
      <w:r>
        <w:rPr>
          <w:color w:val="000000"/>
        </w:rPr>
        <w:t xml:space="preserve">на </w:t>
      </w:r>
      <w:r>
        <w:rPr>
          <w:color w:val="000000"/>
        </w:rPr>
        <w:t xml:space="preserve">диаграмма</w:t>
      </w:r>
      <w:r>
        <w:rPr>
          <w:color w:val="000000"/>
        </w:rPr>
        <w:t xml:space="preserve">х</w:t>
      </w:r>
      <w:r>
        <w:rPr>
          <w:color w:val="000000"/>
        </w:rPr>
        <w:t xml:space="preserve"> Стиффа с</w:t>
      </w:r>
      <w:r>
        <w:rPr>
          <w:color w:val="000000"/>
        </w:rPr>
        <w:t xml:space="preserve">одержания ионов выражены в мг-экв/л, диаграммы построены по единой шкале</w:t>
      </w:r>
      <w:r>
        <w:rPr>
          <w:color w:val="000000"/>
        </w:rPr>
        <w:t xml:space="preserve"> (</w:t>
      </w:r>
      <w:r>
        <w:rPr>
          <w:color w:val="000000"/>
        </w:rPr>
        <w:t xml:space="preserve">образе</w:t>
      </w:r>
      <w:r>
        <w:rPr>
          <w:color w:val="000000"/>
        </w:rPr>
        <w:t xml:space="preserve">ц</w:t>
      </w:r>
      <w:r>
        <w:rPr>
          <w:color w:val="000000"/>
        </w:rPr>
        <w:t xml:space="preserve"> в верхней правой части рисунка</w:t>
      </w:r>
      <w:r>
        <w:rPr>
          <w:color w:val="000000"/>
        </w:rPr>
        <w:t xml:space="preserve">)</w:t>
      </w:r>
      <w:r>
        <w:rPr>
          <w:color w:val="000000"/>
        </w:rPr>
        <w:t xml:space="preserve">. </w:t>
      </w:r>
      <w:r>
        <w:rPr>
          <w:color w:val="000000"/>
        </w:rPr>
        <w:t xml:space="preserve">Водоносные горизонты: </w:t>
      </w:r>
      <w:r>
        <w:rPr>
          <w:color w:val="000000"/>
        </w:rPr>
        <w:t xml:space="preserve">1 –</w:t>
      </w:r>
      <w:r>
        <w:rPr>
          <w:color w:val="000000"/>
        </w:rPr>
        <w:t xml:space="preserve"> </w:t>
      </w:r>
      <w:r>
        <w:rPr>
          <w:color w:val="000000"/>
        </w:rPr>
        <w:t xml:space="preserve">озерно-болотный l,hQ</w:t>
      </w:r>
      <w:r>
        <w:rPr>
          <w:color w:val="000000"/>
          <w:vertAlign w:val="subscript"/>
        </w:rPr>
        <w:t xml:space="preserve">IV</w:t>
      </w:r>
      <w:r>
        <w:rPr>
          <w:color w:val="000000"/>
        </w:rPr>
        <w:t xml:space="preserve">; 2 –</w:t>
      </w:r>
      <w:r>
        <w:rPr>
          <w:color w:val="000000"/>
        </w:rPr>
        <w:t xml:space="preserve"> </w:t>
      </w:r>
      <w:r>
        <w:rPr>
          <w:color w:val="000000"/>
        </w:rPr>
        <w:t xml:space="preserve">аллювиальный alQ</w:t>
      </w:r>
      <w:r>
        <w:rPr>
          <w:color w:val="000000"/>
          <w:vertAlign w:val="subscript"/>
        </w:rPr>
        <w:t xml:space="preserve">IV</w:t>
      </w:r>
      <w:r>
        <w:rPr>
          <w:color w:val="000000"/>
        </w:rPr>
        <w:t xml:space="preserve">; 3 –</w:t>
      </w:r>
      <w:r>
        <w:rPr>
          <w:color w:val="000000"/>
        </w:rPr>
        <w:t xml:space="preserve"> </w:t>
      </w:r>
      <w:r>
        <w:rPr>
          <w:color w:val="000000"/>
        </w:rPr>
        <w:t xml:space="preserve">аллювиально-флювиогляциальный al,fglQ</w:t>
      </w:r>
      <w:r>
        <w:rPr>
          <w:color w:val="000000"/>
          <w:vertAlign w:val="subscript"/>
        </w:rPr>
        <w:t xml:space="preserve">II-III</w:t>
      </w:r>
      <w:r>
        <w:rPr>
          <w:color w:val="000000"/>
        </w:rPr>
        <w:t xml:space="preserve">; 4 – московско-днепровский аллювиально-флювиогляциальный fglQ</w:t>
      </w:r>
      <w:r>
        <w:rPr>
          <w:color w:val="000000"/>
          <w:vertAlign w:val="subscript"/>
        </w:rPr>
        <w:t xml:space="preserve">II</w:t>
      </w:r>
      <w:r>
        <w:rPr>
          <w:color w:val="000000"/>
        </w:rPr>
        <w:t xml:space="preserve">dn-m; 5 – верхнегжельский C</w:t>
      </w:r>
      <w:r>
        <w:rPr>
          <w:color w:val="000000"/>
          <w:vertAlign w:val="subscript"/>
        </w:rPr>
        <w:t xml:space="preserve">3</w:t>
      </w:r>
      <w:r>
        <w:rPr>
          <w:color w:val="000000"/>
        </w:rPr>
        <w:t xml:space="preserve">g</w:t>
      </w:r>
      <w:r>
        <w:rPr>
          <w:color w:val="000000"/>
          <w:vertAlign w:val="subscript"/>
        </w:rPr>
        <w:t xml:space="preserve">2</w:t>
      </w:r>
      <w:r>
        <w:rPr>
          <w:color w:val="000000"/>
        </w:rPr>
        <w:t xml:space="preserve">; 6 – подземные воды спорадического распространения в </w:t>
      </w:r>
      <w:r>
        <w:rPr>
          <w:color w:val="000000"/>
        </w:rPr>
        <w:t xml:space="preserve">московской </w:t>
      </w:r>
      <w:r>
        <w:rPr>
          <w:color w:val="000000"/>
        </w:rPr>
        <w:t xml:space="preserve">морене и в покровных отложениях glQ</w:t>
      </w:r>
      <w:r>
        <w:rPr>
          <w:color w:val="000000"/>
          <w:vertAlign w:val="subscript"/>
        </w:rPr>
        <w:t xml:space="preserve">II</w:t>
      </w:r>
      <w:r>
        <w:rPr>
          <w:color w:val="000000"/>
        </w:rPr>
        <w:t xml:space="preserve">m+</w:t>
      </w:r>
      <w:r>
        <w:rPr>
          <w:color w:val="000000"/>
        </w:rPr>
        <w:t xml:space="preserve">р</w:t>
      </w:r>
      <w:r>
        <w:rPr>
          <w:color w:val="000000"/>
        </w:rPr>
        <w:t xml:space="preserve">rQ</w:t>
      </w:r>
      <w:r>
        <w:rPr>
          <w:color w:val="000000"/>
          <w:vertAlign w:val="subscript"/>
        </w:rPr>
        <w:t xml:space="preserve">III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ind w:firstLine="284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С</w:t>
      </w:r>
      <w:r>
        <w:rPr>
          <w:color w:val="000000"/>
        </w:rPr>
        <w:t xml:space="preserve">остав зимних и осенних вод аналогичен для всех родников, кром</w:t>
      </w:r>
      <w:r>
        <w:rPr>
          <w:color w:val="000000"/>
        </w:rPr>
        <w:t xml:space="preserve">е </w:t>
      </w:r>
      <w:r>
        <w:rPr>
          <w:color w:val="000000"/>
        </w:rPr>
        <w:t xml:space="preserve">8-1 и 8-2, состав которых подвержен сезонным колебаниям</w:t>
      </w:r>
      <w:r>
        <w:rPr>
          <w:color w:val="000000"/>
        </w:rPr>
        <w:t xml:space="preserve"> - </w:t>
      </w:r>
      <w:r>
        <w:rPr>
          <w:color w:val="000000"/>
        </w:rPr>
        <w:t xml:space="preserve">в зимний период</w:t>
      </w:r>
      <w:r>
        <w:rPr>
          <w:color w:val="000000"/>
        </w:rPr>
        <w:t xml:space="preserve"> </w:t>
      </w:r>
      <w:r>
        <w:rPr>
          <w:color w:val="000000"/>
        </w:rPr>
        <w:t xml:space="preserve">увелич</w:t>
      </w:r>
      <w:r>
        <w:rPr>
          <w:color w:val="000000"/>
        </w:rPr>
        <w:t xml:space="preserve">ивается</w:t>
      </w:r>
      <w:r>
        <w:rPr>
          <w:color w:val="000000"/>
        </w:rPr>
        <w:t xml:space="preserve"> содержани</w:t>
      </w:r>
      <w:r>
        <w:rPr>
          <w:color w:val="000000"/>
        </w:rPr>
        <w:t xml:space="preserve">е</w:t>
      </w:r>
      <w:r>
        <w:rPr>
          <w:color w:val="000000"/>
        </w:rPr>
        <w:t xml:space="preserve"> хлорид-ионов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Результаты определения макрокомпонентного состава воды представлены на диаграммах Стиффа</w:t>
      </w:r>
      <w:r>
        <w:rPr>
          <w:color w:val="000000"/>
        </w:rPr>
        <w:t xml:space="preserve"> (рис.</w:t>
      </w:r>
      <w:r>
        <w:rPr>
          <w:color w:val="000000"/>
        </w:rPr>
        <w:t xml:space="preserve">1</w:t>
      </w:r>
      <w:r>
        <w:rPr>
          <w:color w:val="000000"/>
        </w:rPr>
        <w:t xml:space="preserve">)</w:t>
      </w:r>
      <w:r>
        <w:rPr>
          <w:color w:val="000000"/>
        </w:rPr>
        <w:t xml:space="preserve">. Полученные данные позволяют выделить 4 группы вод по составу</w:t>
      </w:r>
      <w:r>
        <w:rPr>
          <w:color w:val="000000"/>
        </w:rPr>
        <w:t xml:space="preserve">: </w:t>
      </w:r>
      <w:r>
        <w:rPr>
          <w:color w:val="000000"/>
        </w:rPr>
        <w:t xml:space="preserve">1) </w:t>
      </w:r>
      <w:r>
        <w:rPr>
          <w:color w:val="000000"/>
        </w:rPr>
        <w:t xml:space="preserve">(</w:t>
      </w:r>
      <w:r>
        <w:rPr>
          <w:color w:val="000000"/>
          <w:lang w:val="en-US"/>
        </w:rPr>
        <w:t xml:space="preserve">Mg</w:t>
      </w:r>
      <w:r>
        <w:rPr>
          <w:color w:val="000000"/>
        </w:rPr>
        <w:t xml:space="preserve">)</w:t>
      </w:r>
      <w:r>
        <w:rPr>
          <w:color w:val="000000"/>
          <w:lang w:val="en-US"/>
        </w:rPr>
        <w:t xml:space="preserve">Ca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Cl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SO</w:t>
      </w:r>
      <w:r>
        <w:rPr>
          <w:color w:val="000000"/>
          <w:vertAlign w:val="subscript"/>
        </w:rPr>
        <w:t xml:space="preserve">4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HCO</w:t>
      </w:r>
      <w:r>
        <w:rPr>
          <w:color w:val="000000"/>
          <w:vertAlign w:val="subscript"/>
        </w:rPr>
        <w:t xml:space="preserve">3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(</w:t>
      </w:r>
      <w:r>
        <w:rPr>
          <w:i/>
          <w:iCs/>
          <w:color w:val="000000"/>
        </w:rPr>
        <w:t xml:space="preserve">родники </w:t>
      </w:r>
      <w:r>
        <w:rPr>
          <w:i/>
          <w:iCs/>
          <w:color w:val="000000"/>
        </w:rPr>
        <w:t xml:space="preserve">1, 2, </w:t>
      </w:r>
      <w:r>
        <w:rPr>
          <w:i/>
          <w:iCs/>
          <w:color w:val="000000"/>
        </w:rPr>
        <w:t xml:space="preserve">3, </w:t>
      </w:r>
      <w:r>
        <w:rPr>
          <w:i/>
          <w:iCs/>
          <w:color w:val="000000"/>
        </w:rPr>
        <w:t xml:space="preserve">6, 7, 10</w:t>
      </w:r>
      <w:r>
        <w:rPr>
          <w:color w:val="000000"/>
        </w:rPr>
        <w:t xml:space="preserve">)</w:t>
      </w:r>
      <w:r>
        <w:rPr>
          <w:color w:val="000000"/>
        </w:rPr>
        <w:t xml:space="preserve">;</w:t>
      </w:r>
      <w:r>
        <w:rPr>
          <w:color w:val="000000"/>
        </w:rPr>
        <w:t xml:space="preserve"> </w:t>
      </w:r>
      <w:r>
        <w:rPr>
          <w:color w:val="000000"/>
        </w:rPr>
        <w:t xml:space="preserve">2) </w:t>
      </w:r>
      <w:r>
        <w:rPr>
          <w:color w:val="000000"/>
          <w:lang w:val="en-US"/>
        </w:rPr>
        <w:t xml:space="preserve">Na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Ca</w:t>
      </w:r>
      <w:r>
        <w:rPr>
          <w:color w:val="000000"/>
        </w:rPr>
        <w:t xml:space="preserve">-</w:t>
      </w:r>
      <w:r>
        <w:rPr>
          <w:color w:val="000000"/>
        </w:rPr>
        <w:t xml:space="preserve">(</w:t>
      </w:r>
      <w:r>
        <w:rPr>
          <w:color w:val="000000"/>
          <w:lang w:val="en-US"/>
        </w:rPr>
        <w:t xml:space="preserve">SO</w:t>
      </w:r>
      <w:r>
        <w:rPr>
          <w:color w:val="000000"/>
          <w:vertAlign w:val="subscript"/>
        </w:rPr>
        <w:t xml:space="preserve">4</w:t>
      </w:r>
      <w:r>
        <w:rPr>
          <w:color w:val="000000"/>
        </w:rPr>
        <w:t xml:space="preserve">)-</w:t>
      </w:r>
      <w:r>
        <w:rPr>
          <w:color w:val="000000"/>
          <w:lang w:val="en-US"/>
        </w:rPr>
        <w:t xml:space="preserve">HCO</w:t>
      </w:r>
      <w:r>
        <w:rPr>
          <w:color w:val="000000"/>
          <w:vertAlign w:val="subscript"/>
        </w:rPr>
        <w:t xml:space="preserve">3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Cl</w:t>
      </w:r>
      <w:r>
        <w:rPr>
          <w:color w:val="000000"/>
        </w:rPr>
        <w:t xml:space="preserve">, </w:t>
      </w:r>
      <w:r>
        <w:rPr>
          <w:color w:val="000000"/>
        </w:rPr>
        <w:t xml:space="preserve">(</w:t>
      </w:r>
      <w:r>
        <w:rPr>
          <w:i/>
          <w:iCs/>
          <w:color w:val="000000"/>
        </w:rPr>
        <w:t xml:space="preserve">родники 5 и 8</w:t>
      </w:r>
      <w:r>
        <w:rPr>
          <w:color w:val="000000"/>
        </w:rPr>
        <w:t xml:space="preserve">); 3) </w:t>
      </w:r>
      <w:r>
        <w:t xml:space="preserve">(</w:t>
      </w:r>
      <w:r>
        <w:rPr>
          <w:lang w:val="en-US"/>
        </w:rPr>
        <w:t xml:space="preserve">Mg</w:t>
      </w:r>
      <w:r>
        <w:t xml:space="preserve">)</w:t>
      </w:r>
      <w:r>
        <w:t xml:space="preserve">-</w:t>
      </w:r>
      <w:r>
        <w:rPr>
          <w:lang w:val="en-US"/>
        </w:rPr>
        <w:t xml:space="preserve">Ca</w:t>
      </w:r>
      <w:r>
        <w:t xml:space="preserve">-</w:t>
      </w:r>
      <w:r>
        <w:rPr>
          <w:color w:val="000000"/>
          <w:lang w:val="en-US"/>
        </w:rPr>
        <w:t xml:space="preserve">HCO</w:t>
      </w:r>
      <w:r>
        <w:rPr>
          <w:color w:val="000000"/>
          <w:vertAlign w:val="subscript"/>
        </w:rPr>
        <w:t xml:space="preserve">3</w:t>
      </w:r>
      <w:r>
        <w:t xml:space="preserve">, (</w:t>
      </w:r>
      <w:r>
        <w:rPr>
          <w:i/>
          <w:iCs/>
        </w:rPr>
        <w:t xml:space="preserve">родники 4 и 11</w:t>
      </w:r>
      <w:r>
        <w:t xml:space="preserve">);</w:t>
      </w:r>
      <w:r>
        <w:rPr>
          <w:color w:val="000000"/>
        </w:rPr>
        <w:t xml:space="preserve"> 4) </w:t>
      </w:r>
      <w:r>
        <w:rPr>
          <w:color w:val="000000"/>
        </w:rPr>
        <w:t xml:space="preserve">смешанны</w:t>
      </w:r>
      <w:r>
        <w:rPr>
          <w:color w:val="000000"/>
        </w:rPr>
        <w:t xml:space="preserve">е </w:t>
      </w:r>
      <w:r>
        <w:rPr>
          <w:color w:val="000000"/>
        </w:rPr>
        <w:t xml:space="preserve">(</w:t>
      </w:r>
      <w:r>
        <w:rPr>
          <w:i/>
          <w:iCs/>
          <w:color w:val="000000"/>
        </w:rPr>
        <w:t xml:space="preserve">родник 9</w:t>
      </w:r>
      <w:r>
        <w:rPr>
          <w:color w:val="000000"/>
        </w:rPr>
        <w:t xml:space="preserve">)</w:t>
      </w:r>
      <w:r>
        <w:rPr>
          <w:color w:val="000000"/>
        </w:rPr>
        <w:t xml:space="preserve">. </w:t>
      </w:r>
      <w:r>
        <w:t xml:space="preserve">Содержания микроэлементов</w:t>
      </w:r>
      <w:r>
        <w:t xml:space="preserve"> </w:t>
      </w:r>
      <w:r>
        <w:t xml:space="preserve">в водах </w:t>
      </w:r>
      <w:r>
        <w:t xml:space="preserve">отлича</w:t>
      </w:r>
      <w:r>
        <w:t xml:space="preserve">ю</w:t>
      </w:r>
      <w:r>
        <w:t xml:space="preserve">тся значительными вариациями </w:t>
      </w:r>
      <w:r>
        <w:t xml:space="preserve">[</w:t>
      </w:r>
      <w:r>
        <w:t xml:space="preserve">6</w:t>
      </w:r>
      <w:r>
        <w:t xml:space="preserve">]</w:t>
      </w:r>
      <w:r>
        <w:t xml:space="preserve">, однако </w:t>
      </w:r>
      <w:r>
        <w:t xml:space="preserve">не превыша</w:t>
      </w:r>
      <w:r>
        <w:t xml:space="preserve">ю</w:t>
      </w:r>
      <w:r>
        <w:t xml:space="preserve">т ПДК</w:t>
      </w:r>
      <w:r>
        <w:t xml:space="preserve"> для </w:t>
      </w:r>
      <w:r>
        <w:t xml:space="preserve">питьевых вод</w:t>
      </w:r>
      <w:r>
        <w:t xml:space="preserve"> за исключением содержания железа</w:t>
      </w:r>
      <w:r>
        <w:t xml:space="preserve"> (</w:t>
      </w:r>
      <w:r>
        <w:t xml:space="preserve">родник 6</w:t>
      </w:r>
      <w:r>
        <w:t xml:space="preserve">)</w:t>
      </w:r>
      <w:r>
        <w:t xml:space="preserve">.</w:t>
      </w:r>
      <w:r/>
    </w:p>
    <w:p>
      <w:pPr>
        <w:ind w:firstLine="397"/>
        <w:jc w:val="both"/>
      </w:pPr>
      <w:r>
        <w:t xml:space="preserve">Таким образом, п</w:t>
      </w:r>
      <w:r>
        <w:t xml:space="preserve">итание родников происходит за счет вод, </w:t>
      </w:r>
      <w:r>
        <w:t xml:space="preserve">локализованных в поверхностной толще</w:t>
      </w:r>
      <w:r>
        <w:t xml:space="preserve"> рыхлых отложений (Q</w:t>
      </w:r>
      <w:r>
        <w:rPr>
          <w:vertAlign w:val="subscript"/>
        </w:rPr>
        <w:t xml:space="preserve">I–IV</w:t>
      </w:r>
      <w:r>
        <w:t xml:space="preserve">), наиболее подверженных техногенно</w:t>
      </w:r>
      <w:r>
        <w:t xml:space="preserve">й нагрузке</w:t>
      </w:r>
      <w:r>
        <w:t xml:space="preserve">. </w:t>
      </w:r>
      <w:r>
        <w:t xml:space="preserve">Повышенное содержание</w:t>
      </w:r>
      <w:r>
        <w:t xml:space="preserve"> соединений азота, </w:t>
      </w:r>
      <w:r>
        <w:rPr>
          <w:color w:val="000000"/>
        </w:rPr>
        <w:t xml:space="preserve">ионов </w:t>
      </w:r>
      <w:r>
        <w:rPr>
          <w:color w:val="000000"/>
          <w:lang w:val="en-US"/>
        </w:rPr>
        <w:t xml:space="preserve">SO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2-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Cl</w:t>
      </w:r>
      <w:r>
        <w:rPr>
          <w:color w:val="000000"/>
          <w:vertAlign w:val="superscript"/>
        </w:rPr>
        <w:t xml:space="preserve">-</w:t>
      </w:r>
      <w:r>
        <w:rPr>
          <w:color w:val="000000"/>
          <w:vertAlign w:val="superscript"/>
        </w:rPr>
        <w:t xml:space="preserve"> </w:t>
      </w:r>
      <w:r>
        <w:t xml:space="preserve">в </w:t>
      </w:r>
      <w:r>
        <w:t xml:space="preserve">подземных </w:t>
      </w:r>
      <w:r>
        <w:t xml:space="preserve">водах </w:t>
      </w:r>
      <w:r>
        <w:t xml:space="preserve">св</w:t>
      </w:r>
      <w:r>
        <w:t xml:space="preserve">язано с </w:t>
      </w:r>
      <w:r>
        <w:rPr>
          <w:color w:val="000000"/>
        </w:rPr>
        <w:t xml:space="preserve">утечками из канализации на селитебных территориях</w:t>
      </w:r>
      <w:r>
        <w:rPr>
          <w:color w:val="000000"/>
        </w:rPr>
        <w:t xml:space="preserve">,</w:t>
      </w:r>
      <w:r>
        <w:t xml:space="preserve"> применением азотных и калийных удобрений </w:t>
      </w:r>
      <w:r>
        <w:t xml:space="preserve">агропромышленн</w:t>
      </w:r>
      <w:r>
        <w:t xml:space="preserve">ыми</w:t>
      </w:r>
      <w:r>
        <w:t xml:space="preserve"> </w:t>
      </w:r>
      <w:r>
        <w:t xml:space="preserve">предприятиями,</w:t>
      </w:r>
      <w:r>
        <w:t xml:space="preserve"> </w:t>
      </w:r>
      <w:r>
        <w:t xml:space="preserve">а также </w:t>
      </w:r>
      <w:r>
        <w:t xml:space="preserve">с </w:t>
      </w:r>
      <w:r>
        <w:t xml:space="preserve">обработкой дорог противогололедными реагентами. </w:t>
      </w:r>
      <w:r/>
    </w:p>
    <w:p>
      <w:pPr>
        <w:jc w:val="both"/>
        <w:spacing w:before="120"/>
        <w:rPr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pacing w:val="-2"/>
          <w:sz w:val="22"/>
          <w:szCs w:val="22"/>
        </w:rPr>
        <w:t xml:space="preserve">Работа выполнена в рамках госбюджетной темы «Развитие комплексных методов физической, прогнозно-поисковой и экологической геохимии» (контракт № 5-3-2021, номер ЦИТИС: 121061600048-7).</w:t>
      </w:r>
      <w:r>
        <w:rPr>
          <w:color w:val="000000"/>
          <w:spacing w:val="-2"/>
          <w:sz w:val="22"/>
          <w:szCs w:val="22"/>
        </w:rPr>
      </w:r>
    </w:p>
    <w:p>
      <w:pPr>
        <w:ind w:firstLine="567"/>
        <w:jc w:val="center"/>
        <w:keepNext/>
        <w:spacing w:before="240"/>
        <w:rPr>
          <w:i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</w:rPr>
        <w:t xml:space="preserve">Литература</w:t>
      </w:r>
      <w:r>
        <w:rPr>
          <w:i/>
          <w:color w:val="000000"/>
        </w:rPr>
      </w:r>
    </w:p>
    <w:p>
      <w:pPr>
        <w:pStyle w:val="644"/>
        <w:numPr>
          <w:ilvl w:val="0"/>
          <w:numId w:val="2"/>
        </w:numPr>
        <w:ind w:left="709" w:hanging="425"/>
        <w:jc w:val="both"/>
        <w:rPr>
          <w:color w:val="000000"/>
          <w:spacing w:val="-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pacing w:val="-4"/>
        </w:rPr>
        <w:t xml:space="preserve">Макеев В.М., Суханова Т.В., Макарова Н.В., Коробова И.В.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Геолого-геоморфологическое строение и геоэкологические условия Ногинско-Клязьминского района Московской области // Геоэкология. Инженерная геология. Гидрогеология. Геокриология. 2019. </w:t>
      </w:r>
      <w:r>
        <w:rPr>
          <w:color w:val="000000"/>
          <w:spacing w:val="-4"/>
        </w:rPr>
        <w:t xml:space="preserve">№ </w:t>
      </w:r>
      <w:r>
        <w:rPr>
          <w:color w:val="000000"/>
          <w:spacing w:val="-4"/>
        </w:rPr>
        <w:t xml:space="preserve">4. </w:t>
      </w:r>
      <w:r>
        <w:rPr>
          <w:color w:val="000000"/>
          <w:spacing w:val="-4"/>
        </w:rPr>
        <w:t xml:space="preserve">С</w:t>
      </w:r>
      <w:r>
        <w:rPr>
          <w:color w:val="000000"/>
          <w:spacing w:val="-4"/>
        </w:rPr>
        <w:t xml:space="preserve">. 68-78. </w:t>
      </w:r>
      <w:r>
        <w:rPr>
          <w:color w:val="000000"/>
          <w:spacing w:val="-4"/>
        </w:rPr>
      </w:r>
    </w:p>
    <w:p>
      <w:pPr>
        <w:pStyle w:val="644"/>
        <w:numPr>
          <w:ilvl w:val="0"/>
          <w:numId w:val="2"/>
        </w:numPr>
        <w:ind w:left="709" w:hanging="425"/>
        <w:jc w:val="both"/>
        <w:rPr>
          <w:color w:val="000000"/>
          <w:spacing w:val="-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iCs/>
          <w:color w:val="000000"/>
          <w:spacing w:val="-4"/>
        </w:rPr>
        <w:t xml:space="preserve">Позднякова И.А., Кожевникова И.А., Костикова И.А., Томс Л.С.</w:t>
      </w:r>
      <w:r>
        <w:rPr>
          <w:color w:val="000000"/>
          <w:spacing w:val="-4"/>
        </w:rPr>
        <w:t xml:space="preserve"> Оценка условий взаимосвязи водоносных горизонтов на основе крупномасштабного картирования геологического строения и гидрогеологических условий г. Москвы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// Геоэкология. Инженерная геология. Гидрогеология. Геокриология. 2012. № 6. </w:t>
      </w:r>
      <w:r>
        <w:rPr>
          <w:color w:val="000000"/>
          <w:spacing w:val="-4"/>
        </w:rPr>
        <w:t xml:space="preserve">С</w:t>
      </w:r>
      <w:r>
        <w:rPr>
          <w:color w:val="000000"/>
          <w:spacing w:val="-4"/>
        </w:rPr>
        <w:t xml:space="preserve">. 527-539.</w:t>
      </w:r>
      <w:r>
        <w:rPr>
          <w:color w:val="000000"/>
          <w:spacing w:val="-4"/>
        </w:rPr>
      </w:r>
    </w:p>
    <w:p>
      <w:pPr>
        <w:pStyle w:val="644"/>
        <w:numPr>
          <w:ilvl w:val="0"/>
          <w:numId w:val="2"/>
        </w:numPr>
        <w:ind w:left="709" w:hanging="425"/>
        <w:jc w:val="both"/>
        <w:rPr>
          <w:color w:val="000000"/>
          <w:spacing w:val="-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iCs/>
          <w:color w:val="000000"/>
          <w:spacing w:val="-4"/>
        </w:rPr>
        <w:t xml:space="preserve">Резников А.А., Муликовская Е.П., Соколов И.Ю.</w:t>
      </w:r>
      <w:r>
        <w:rPr>
          <w:color w:val="000000"/>
          <w:spacing w:val="-4"/>
        </w:rPr>
        <w:t xml:space="preserve"> Методы анализа природных вод. М.:Недра, 1970. 488 с.</w:t>
      </w:r>
      <w:r>
        <w:rPr>
          <w:color w:val="000000"/>
          <w:spacing w:val="-4"/>
        </w:rPr>
      </w:r>
    </w:p>
    <w:p>
      <w:pPr>
        <w:pStyle w:val="644"/>
        <w:numPr>
          <w:ilvl w:val="0"/>
          <w:numId w:val="2"/>
        </w:numPr>
        <w:ind w:left="709" w:hanging="425"/>
        <w:jc w:val="both"/>
        <w:rPr>
          <w:color w:val="000000"/>
          <w:spacing w:val="-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pacing w:val="-4"/>
        </w:rPr>
        <w:t xml:space="preserve">Лубкова Т.Н., Липатникова О.А., Филатова О.Р., Балыкова И.В.</w:t>
      </w:r>
      <w:r>
        <w:rPr>
          <w:color w:val="000000"/>
          <w:spacing w:val="-4"/>
        </w:rPr>
        <w:t xml:space="preserve"> Рентгенофлуоресцентный анализ </w:t>
      </w:r>
      <w:r>
        <w:rPr>
          <w:color w:val="000000"/>
          <w:spacing w:val="-4"/>
        </w:rPr>
        <w:t xml:space="preserve">сульфат-иона в водных растворах по методу высушенной капли с использованием портативного спектрометра</w:t>
      </w:r>
      <w:r>
        <w:rPr>
          <w:color w:val="000000"/>
          <w:spacing w:val="-4"/>
        </w:rPr>
        <w:t xml:space="preserve"> //</w:t>
      </w:r>
      <w:r>
        <w:rPr>
          <w:color w:val="000000"/>
          <w:spacing w:val="-4"/>
        </w:rPr>
        <w:t xml:space="preserve"> Вестник московского университета. Серия 4. Геология. 2022. </w:t>
      </w:r>
      <w:r>
        <w:rPr>
          <w:color w:val="000000"/>
          <w:spacing w:val="-4"/>
        </w:rPr>
        <w:t xml:space="preserve">№ </w:t>
      </w:r>
      <w:r>
        <w:rPr>
          <w:color w:val="000000"/>
          <w:spacing w:val="-4"/>
        </w:rPr>
        <w:t xml:space="preserve">2</w:t>
      </w:r>
      <w:r>
        <w:rPr>
          <w:color w:val="000000"/>
          <w:spacing w:val="-4"/>
        </w:rPr>
        <w:t xml:space="preserve">. С. </w:t>
      </w:r>
      <w:r>
        <w:rPr>
          <w:color w:val="000000"/>
          <w:spacing w:val="-4"/>
        </w:rPr>
        <w:t xml:space="preserve">59-67. </w:t>
      </w:r>
      <w:r>
        <w:rPr>
          <w:color w:val="000000"/>
          <w:spacing w:val="-4"/>
        </w:rPr>
      </w:r>
    </w:p>
    <w:p>
      <w:pPr>
        <w:pStyle w:val="644"/>
        <w:numPr>
          <w:ilvl w:val="0"/>
          <w:numId w:val="2"/>
        </w:numPr>
        <w:ind w:left="709" w:hanging="425"/>
        <w:jc w:val="both"/>
        <w:rPr>
          <w:color w:val="000000"/>
          <w:spacing w:val="-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SimSun"/>
          <w:spacing w:val="-4"/>
        </w:rPr>
        <w:t xml:space="preserve">Гидрогеологическая карта СССР (N-37-III). Серия Московская, масштаб: 1:200000, составлена: ВСЕГИНГЕО, 1961 г., редактор(ы): Урбан Б.Э.</w:t>
      </w:r>
      <w:r>
        <w:rPr>
          <w:i/>
          <w:color w:val="000000"/>
          <w:spacing w:val="-4"/>
        </w:rPr>
        <w:t xml:space="preserve"> </w:t>
      </w:r>
      <w:r>
        <w:rPr>
          <w:color w:val="000000"/>
          <w:spacing w:val="-4"/>
        </w:rPr>
      </w:r>
    </w:p>
    <w:p>
      <w:pPr>
        <w:pStyle w:val="644"/>
        <w:numPr>
          <w:ilvl w:val="0"/>
          <w:numId w:val="2"/>
        </w:numPr>
        <w:ind w:left="709" w:hanging="425"/>
        <w:jc w:val="both"/>
        <w:rPr>
          <w:color w:val="000000"/>
          <w:spacing w:val="-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pacing w:val="-4"/>
        </w:rPr>
        <w:t xml:space="preserve">Гусарова, Д. С., Яблонская, Д. А., Липатникова, О. А., Лубкова, Т. Н., Филатова, О. Р.</w:t>
      </w:r>
      <w:r>
        <w:rPr>
          <w:color w:val="000000"/>
          <w:spacing w:val="-4"/>
        </w:rPr>
        <w:t xml:space="preserve"> Геохимическая и санитарно-химическая характеристика вод родников Богородского и Лосино-Петровского городских округов Московской области // Вестник Московского университета. Серия 4: Геология</w:t>
      </w:r>
      <w:r>
        <w:rPr>
          <w:color w:val="000000"/>
          <w:spacing w:val="-4"/>
        </w:rPr>
        <w:t xml:space="preserve">. 2024. №</w:t>
      </w:r>
      <w:r>
        <w:rPr>
          <w:color w:val="000000"/>
          <w:spacing w:val="-4"/>
        </w:rPr>
        <w:t xml:space="preserve"> 1</w:t>
      </w:r>
      <w:r>
        <w:rPr>
          <w:color w:val="000000"/>
          <w:spacing w:val="-4"/>
        </w:rPr>
        <w:t xml:space="preserve">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С. </w:t>
      </w:r>
      <w:r>
        <w:rPr>
          <w:color w:val="000000"/>
          <w:spacing w:val="-4"/>
        </w:rPr>
        <w:t xml:space="preserve">95–104.</w:t>
      </w:r>
      <w:r>
        <w:rPr>
          <w:color w:val="000000"/>
          <w:spacing w:val="-4"/>
        </w:rPr>
      </w:r>
    </w:p>
    <w:p>
      <w:pPr>
        <w:contextualSpacing/>
        <w:jc w:val="center"/>
        <w:keepLines/>
        <w:keepNext/>
        <w:spacing w:before="360"/>
        <w:rPr>
          <w:bCs/>
          <w:iCs/>
          <w:color w:val="000000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i/>
          <w:color w:val="000000"/>
          <w:lang w:val="en-US"/>
        </w:rPr>
        <w:t xml:space="preserve">Darya S. Gusarova</w:t>
      </w:r>
      <w:r>
        <w:rPr>
          <w:b/>
          <w:i/>
          <w:color w:val="000000"/>
          <w:vertAlign w:val="superscript"/>
          <w:lang w:val="en-US"/>
        </w:rPr>
        <w:t xml:space="preserve">1</w:t>
      </w:r>
      <w:r>
        <w:rPr>
          <w:b/>
          <w:i/>
          <w:color w:val="000000"/>
          <w:lang w:val="en-US"/>
        </w:rPr>
        <w:t xml:space="preserve">, Darya A. Yablonskaya</w:t>
      </w:r>
      <w:r>
        <w:rPr>
          <w:b/>
          <w:i/>
          <w:color w:val="000000"/>
          <w:vertAlign w:val="superscript"/>
          <w:lang w:val="en-US"/>
        </w:rPr>
        <w:t xml:space="preserve">1</w:t>
      </w:r>
      <w:r>
        <w:rPr>
          <w:b/>
          <w:i/>
          <w:color w:val="000000"/>
          <w:lang w:val="en-US"/>
        </w:rPr>
        <w:t xml:space="preserve">, Olga A. Lipatnikova</w:t>
      </w:r>
      <w:r>
        <w:rPr>
          <w:b/>
          <w:i/>
          <w:color w:val="000000"/>
          <w:vertAlign w:val="superscript"/>
          <w:lang w:val="en-US"/>
        </w:rPr>
        <w:t xml:space="preserve">1</w:t>
      </w:r>
      <w:r>
        <w:rPr>
          <w:b/>
          <w:i/>
          <w:color w:val="000000"/>
          <w:lang w:val="en-US"/>
        </w:rPr>
        <w:t xml:space="preserve">, Tatyana N. Lubkova</w:t>
      </w:r>
      <w:r>
        <w:rPr>
          <w:b/>
          <w:i/>
          <w:color w:val="000000"/>
          <w:vertAlign w:val="superscript"/>
          <w:lang w:val="en-US"/>
        </w:rPr>
        <w:t xml:space="preserve">1</w:t>
      </w:r>
      <w:r>
        <w:rPr>
          <w:b/>
          <w:i/>
          <w:color w:val="000000"/>
          <w:lang w:val="en-US"/>
        </w:rPr>
        <w:t xml:space="preserve">, Olga R. Filatova</w:t>
      </w:r>
      <w:r>
        <w:rPr>
          <w:b/>
          <w:i/>
          <w:color w:val="000000"/>
          <w:vertAlign w:val="superscript"/>
          <w:lang w:val="en-US"/>
        </w:rPr>
        <w:t xml:space="preserve">1</w:t>
      </w:r>
      <w:r>
        <w:rPr>
          <w:b/>
          <w:i/>
          <w:color w:val="000000"/>
          <w:lang w:val="en-US"/>
        </w:rPr>
        <w:br/>
      </w:r>
      <w:r>
        <w:rPr>
          <w:b/>
          <w:bCs/>
          <w:lang w:val="en-US"/>
        </w:rPr>
        <w:t xml:space="preserve">ASSESSMENT OF ANTHROPOGENIC </w:t>
      </w:r>
      <w:r>
        <w:rPr>
          <w:b/>
          <w:bCs/>
          <w:lang w:val="en-GB"/>
        </w:rPr>
        <w:t xml:space="preserve">INFLUENCE</w:t>
      </w:r>
      <w:r>
        <w:rPr>
          <w:b/>
          <w:bCs/>
          <w:lang w:val="en-US"/>
        </w:rPr>
        <w:t xml:space="preserve"> ON GROUNDWATER COMPOSITION (CASE STUDY: SPRINGS IN THE NORTHEAST OF THE MOSCOW REGION)</w:t>
      </w:r>
      <w:r>
        <w:rPr>
          <w:bCs/>
          <w:iCs/>
          <w:color w:val="000000"/>
          <w:lang w:val="en-US"/>
        </w:rPr>
      </w:r>
    </w:p>
    <w:p>
      <w:pPr>
        <w:jc w:val="center"/>
        <w:keepLines/>
        <w:keepNext/>
        <w:rPr>
          <w:i/>
          <w:color w:val="000000"/>
          <w:sz w:val="22"/>
          <w:szCs w:val="22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z w:val="22"/>
          <w:szCs w:val="22"/>
          <w:vertAlign w:val="superscript"/>
          <w:lang w:val="en-US"/>
        </w:rPr>
        <w:t xml:space="preserve">1</w:t>
      </w:r>
      <w:r>
        <w:rPr>
          <w:i/>
          <w:color w:val="000000"/>
          <w:sz w:val="22"/>
          <w:szCs w:val="22"/>
          <w:lang w:val="en-US"/>
        </w:rPr>
        <w:t xml:space="preserve">Lomonosov Moscow State University</w:t>
      </w:r>
      <w:r>
        <w:rPr>
          <w:i/>
          <w:color w:val="000000"/>
          <w:sz w:val="22"/>
          <w:szCs w:val="22"/>
          <w:lang w:val="en-US"/>
        </w:rPr>
      </w:r>
    </w:p>
    <w:p>
      <w:pPr>
        <w:jc w:val="center"/>
        <w:keepLines/>
        <w:keepNext/>
        <w:spacing w:before="240" w:after="240"/>
        <w:rPr>
          <w:color w:val="000000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en-US"/>
        </w:rPr>
        <w:t xml:space="preserve">The study examined the impact of anthropogenic load on the </w:t>
      </w:r>
      <w:r>
        <w:rPr>
          <w:color w:val="000000"/>
          <w:lang w:val="en-US"/>
        </w:rPr>
        <w:t xml:space="preserve">spring waters </w:t>
      </w:r>
      <w:r>
        <w:rPr>
          <w:color w:val="000000"/>
          <w:lang w:val="en-US"/>
        </w:rPr>
        <w:t xml:space="preserve">composition for the Bogorodsky and Losino-Petrovsky urban districts </w:t>
      </w:r>
      <w:r>
        <w:rPr>
          <w:color w:val="000000"/>
          <w:lang w:val="en-US"/>
        </w:rPr>
        <w:t xml:space="preserve">(</w:t>
      </w:r>
      <w:r>
        <w:rPr>
          <w:color w:val="000000"/>
          <w:lang w:val="en-US"/>
        </w:rPr>
        <w:t xml:space="preserve">Moscow region</w:t>
      </w:r>
      <w:r>
        <w:rPr>
          <w:color w:val="000000"/>
          <w:lang w:val="en-US"/>
        </w:rPr>
        <w:t xml:space="preserve">)</w:t>
      </w:r>
      <w:r>
        <w:rPr>
          <w:color w:val="000000"/>
          <w:lang w:val="en-US"/>
        </w:rPr>
        <w:t xml:space="preserve">. </w:t>
      </w:r>
      <w:r>
        <w:rPr>
          <w:color w:val="000000"/>
        </w:rPr>
        <w:t xml:space="preserve">It was determined that the waters of the springs are localized in Quaternary deposits and are characterized by elevated levels of SO</w:t>
      </w:r>
      <w:r>
        <w:rPr>
          <w:color w:val="000000"/>
          <w:vertAlign w:val="subscript"/>
        </w:rPr>
        <w:t xml:space="preserve">4</w:t>
      </w:r>
      <w:r>
        <w:rPr>
          <w:color w:val="000000"/>
          <w:vertAlign w:val="superscript"/>
        </w:rPr>
        <w:t xml:space="preserve">2-</w:t>
      </w:r>
      <w:r>
        <w:rPr>
          <w:color w:val="000000"/>
        </w:rPr>
        <w:t xml:space="preserve"> and Cl</w:t>
      </w:r>
      <w:r>
        <w:rPr>
          <w:color w:val="000000"/>
          <w:vertAlign w:val="superscript"/>
        </w:rPr>
        <w:t xml:space="preserve">-</w:t>
      </w:r>
      <w:r>
        <w:rPr>
          <w:color w:val="000000"/>
        </w:rPr>
        <w:t xml:space="preserve"> and nitrogen compounds. This is attributed to leaks from sewage systems in residential areas, the use of nitrogen and potassium fertilizers by agro-industrial enterprises, as well as the treatment of roads with anti-icing agents in winter. </w:t>
      </w:r>
      <w:r>
        <w:rPr>
          <w:color w:val="000000"/>
          <w:lang w:val="en-US"/>
        </w:rPr>
        <w:t xml:space="preserve">Exceedances of regulatory limits are observed in isolated cases: for the concentration of iron in water, COD values, and the content of NO</w:t>
      </w:r>
      <w:r>
        <w:rPr>
          <w:color w:val="000000"/>
          <w:vertAlign w:val="subscript"/>
          <w:lang w:val="en-US"/>
        </w:rPr>
        <w:t xml:space="preserve">3</w:t>
      </w:r>
      <w:r>
        <w:rPr>
          <w:color w:val="000000"/>
          <w:vertAlign w:val="superscript"/>
          <w:lang w:val="en-US"/>
        </w:rPr>
        <w:t xml:space="preserve">-</w:t>
      </w:r>
      <w:r>
        <w:rPr>
          <w:color w:val="000000"/>
          <w:lang w:val="en-US"/>
        </w:rPr>
        <w:t xml:space="preserve"> and NH</w:t>
      </w:r>
      <w:r>
        <w:rPr>
          <w:color w:val="000000"/>
          <w:vertAlign w:val="subscript"/>
          <w:lang w:val="en-US"/>
        </w:rPr>
        <w:t xml:space="preserve">4</w:t>
      </w:r>
      <w:r>
        <w:rPr>
          <w:color w:val="000000"/>
          <w:vertAlign w:val="superscript"/>
          <w:lang w:val="en-US"/>
        </w:rPr>
        <w:t xml:space="preserve">+</w:t>
      </w:r>
      <w:r>
        <w:rPr>
          <w:color w:val="000000"/>
          <w:lang w:val="en-US"/>
        </w:rPr>
        <w:t xml:space="preserve"> in the individual springs.</w:t>
      </w:r>
      <w:r>
        <w:rPr>
          <w:color w:val="000000"/>
          <w:lang w:val="en-US"/>
        </w:rPr>
      </w:r>
    </w:p>
    <w:sectPr>
      <w:footnotePr/>
      <w:endnotePr/>
      <w:type w:val="nextPage"/>
      <w:pgSz w:w="8392" w:h="11907" w:orient="portrait"/>
      <w:pgMar w:top="1077" w:right="1021" w:bottom="1134" w:left="1021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imSun">
    <w:panose1 w:val="02020603020101020101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4"/>
    <w:link w:val="6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4"/>
    <w:link w:val="63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38"/>
    <w:uiPriority w:val="10"/>
    <w:rPr>
      <w:sz w:val="48"/>
      <w:szCs w:val="48"/>
    </w:rPr>
  </w:style>
  <w:style w:type="character" w:styleId="37">
    <w:name w:val="Subtitle Char"/>
    <w:basedOn w:val="634"/>
    <w:link w:val="639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</w:style>
  <w:style w:type="paragraph" w:styleId="628">
    <w:name w:val="Heading 1"/>
    <w:basedOn w:val="627"/>
    <w:next w:val="627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9">
    <w:name w:val="Heading 2"/>
    <w:basedOn w:val="627"/>
    <w:next w:val="627"/>
    <w:pPr>
      <w:jc w:val="center"/>
      <w:pageBreakBefore/>
      <w:outlineLvl w:val="1"/>
    </w:pPr>
    <w:rPr>
      <w:b/>
      <w:i/>
    </w:rPr>
  </w:style>
  <w:style w:type="paragraph" w:styleId="630">
    <w:name w:val="Heading 3"/>
    <w:basedOn w:val="627"/>
    <w:next w:val="627"/>
    <w:pPr>
      <w:jc w:val="center"/>
      <w:outlineLvl w:val="2"/>
    </w:pPr>
    <w:rPr>
      <w:b/>
    </w:rPr>
  </w:style>
  <w:style w:type="paragraph" w:styleId="631">
    <w:name w:val="Heading 4"/>
    <w:basedOn w:val="627"/>
    <w:next w:val="627"/>
    <w:pPr>
      <w:keepLines/>
      <w:keepNext/>
      <w:spacing w:before="240" w:after="40"/>
      <w:outlineLvl w:val="3"/>
    </w:pPr>
    <w:rPr>
      <w:b/>
    </w:rPr>
  </w:style>
  <w:style w:type="paragraph" w:styleId="632">
    <w:name w:val="Heading 5"/>
    <w:basedOn w:val="627"/>
    <w:next w:val="627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33">
    <w:name w:val="Heading 6"/>
    <w:basedOn w:val="627"/>
    <w:next w:val="627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table" w:styleId="63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8">
    <w:name w:val="Title"/>
    <w:basedOn w:val="627"/>
    <w:next w:val="627"/>
    <w:pPr>
      <w:keepLines/>
      <w:keepNext/>
      <w:spacing w:before="480" w:after="120"/>
    </w:pPr>
    <w:rPr>
      <w:b/>
      <w:sz w:val="72"/>
      <w:szCs w:val="72"/>
    </w:rPr>
  </w:style>
  <w:style w:type="paragraph" w:styleId="639">
    <w:name w:val="Subtitle"/>
    <w:basedOn w:val="627"/>
    <w:next w:val="627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40" w:customStyle="1">
    <w:name w:val="StGen0"/>
    <w:basedOn w:val="63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641">
    <w:name w:val="Balloon Text"/>
    <w:basedOn w:val="627"/>
    <w:link w:val="642"/>
    <w:uiPriority w:val="99"/>
    <w:semiHidden/>
    <w:unhideWhenUsed/>
    <w:rPr>
      <w:rFonts w:ascii="Tahoma" w:hAnsi="Tahoma" w:cs="Tahoma"/>
      <w:sz w:val="16"/>
      <w:szCs w:val="16"/>
    </w:rPr>
  </w:style>
  <w:style w:type="character" w:styleId="642" w:customStyle="1">
    <w:name w:val="Текст выноски Знак"/>
    <w:basedOn w:val="634"/>
    <w:link w:val="641"/>
    <w:uiPriority w:val="99"/>
    <w:semiHidden/>
    <w:rPr>
      <w:rFonts w:ascii="Tahoma" w:hAnsi="Tahoma" w:cs="Tahoma"/>
      <w:sz w:val="16"/>
      <w:szCs w:val="16"/>
    </w:rPr>
  </w:style>
  <w:style w:type="character" w:styleId="643">
    <w:name w:val="Hyperlink"/>
    <w:basedOn w:val="634"/>
    <w:uiPriority w:val="99"/>
    <w:unhideWhenUsed/>
    <w:rPr>
      <w:color w:val="0000ff" w:themeColor="hyperlink"/>
      <w:u w:val="single"/>
    </w:rPr>
  </w:style>
  <w:style w:type="paragraph" w:styleId="644">
    <w:name w:val="List Paragraph"/>
    <w:basedOn w:val="6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Aplet</dc:creator>
  <cp:lastModifiedBy>Дарья Гусарова</cp:lastModifiedBy>
  <cp:revision>14</cp:revision>
  <dcterms:created xsi:type="dcterms:W3CDTF">2024-03-11T18:32:00Z</dcterms:created>
  <dcterms:modified xsi:type="dcterms:W3CDTF">2024-08-29T19:51:31Z</dcterms:modified>
</cp:coreProperties>
</file>