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AD17D" w14:textId="77777777" w:rsidR="00C955CA" w:rsidRDefault="00000000">
      <w:pPr>
        <w:spacing w:line="360" w:lineRule="auto"/>
        <w:jc w:val="center"/>
        <w:rPr>
          <w:rFonts w:ascii="Times New Roman" w:eastAsia="Calibri" w:hAnsi="Times New Roman" w:cs="Times New Roman"/>
          <w:b/>
          <w:bCs/>
          <w:kern w:val="2"/>
          <w:sz w:val="28"/>
          <w:szCs w:val="28"/>
          <w:lang w:val="ru-RU"/>
          <w14:ligatures w14:val="standardContextual"/>
        </w:rPr>
      </w:pPr>
      <w:r>
        <w:rPr>
          <w:rFonts w:ascii="Times New Roman" w:eastAsia="Calibri" w:hAnsi="Times New Roman" w:cs="Times New Roman"/>
          <w:b/>
          <w:bCs/>
          <w:kern w:val="2"/>
          <w:sz w:val="28"/>
          <w:szCs w:val="28"/>
          <w:lang w:val="ru-RU"/>
          <w14:ligatures w14:val="standardContextual"/>
        </w:rPr>
        <w:t>АКТУАЛЬНЫЕ ПРОБЛЕМЫ ОЦЕНКИ ЭФФЕКТИВНОСТИ ИНВЕСТИЦИОННЫХ НАЛОГОВЫХ ЛЬГОТ</w:t>
      </w:r>
    </w:p>
    <w:p w14:paraId="4213828D" w14:textId="77777777" w:rsidR="00C955CA" w:rsidRDefault="00000000">
      <w:pPr>
        <w:spacing w:line="360" w:lineRule="auto"/>
        <w:ind w:firstLine="709"/>
        <w:jc w:val="right"/>
        <w:rPr>
          <w:rFonts w:ascii="Times New Roman" w:eastAsia="Calibri" w:hAnsi="Times New Roman" w:cs="Times New Roman"/>
          <w:b/>
          <w:bCs/>
          <w:kern w:val="2"/>
          <w:sz w:val="28"/>
          <w:szCs w:val="28"/>
          <w:lang w:val="ru-RU"/>
          <w14:ligatures w14:val="standardContextual"/>
        </w:rPr>
      </w:pPr>
      <w:r>
        <w:rPr>
          <w:rFonts w:ascii="Times New Roman" w:eastAsia="Calibri" w:hAnsi="Times New Roman" w:cs="Times New Roman"/>
          <w:b/>
          <w:bCs/>
          <w:kern w:val="2"/>
          <w:sz w:val="28"/>
          <w:szCs w:val="28"/>
          <w:lang w:val="ru-RU"/>
          <w14:ligatures w14:val="standardContextual"/>
        </w:rPr>
        <w:t>Малумян Лиза Артуровна</w:t>
      </w:r>
    </w:p>
    <w:p w14:paraId="01842269" w14:textId="29929270" w:rsidR="00C955CA" w:rsidRDefault="00F76ACE">
      <w:pPr>
        <w:spacing w:line="360" w:lineRule="auto"/>
        <w:ind w:firstLine="709"/>
        <w:jc w:val="right"/>
        <w:rPr>
          <w:rFonts w:ascii="Times New Roman" w:eastAsia="Calibri" w:hAnsi="Times New Roman" w:cs="Times New Roman"/>
          <w:b/>
          <w:bCs/>
          <w:kern w:val="2"/>
          <w:sz w:val="28"/>
          <w:szCs w:val="28"/>
          <w:lang w:val="ru-RU"/>
          <w14:ligatures w14:val="standardContextual"/>
        </w:rPr>
      </w:pPr>
      <w:r>
        <w:rPr>
          <w:rFonts w:ascii="Times New Roman" w:eastAsia="Calibri" w:hAnsi="Times New Roman" w:cs="Times New Roman"/>
          <w:b/>
          <w:bCs/>
          <w:kern w:val="2"/>
          <w:sz w:val="28"/>
          <w:szCs w:val="28"/>
          <w:lang w:val="ru-RU"/>
          <w14:ligatures w14:val="standardContextual"/>
        </w:rPr>
        <w:t>магистр, Высшая школа государственного аудита (факультет),</w:t>
      </w:r>
    </w:p>
    <w:p w14:paraId="4528B8B0" w14:textId="77777777" w:rsidR="00C955CA" w:rsidRDefault="00000000">
      <w:pPr>
        <w:spacing w:line="360" w:lineRule="auto"/>
        <w:ind w:firstLine="709"/>
        <w:jc w:val="right"/>
        <w:rPr>
          <w:rFonts w:ascii="Times New Roman" w:eastAsia="Calibri" w:hAnsi="Times New Roman" w:cs="Times New Roman"/>
          <w:b/>
          <w:bCs/>
          <w:kern w:val="2"/>
          <w:sz w:val="28"/>
          <w:szCs w:val="28"/>
          <w:lang w:val="ru-RU"/>
          <w14:ligatures w14:val="standardContextual"/>
        </w:rPr>
      </w:pPr>
      <w:r>
        <w:rPr>
          <w:rFonts w:ascii="Times New Roman" w:eastAsia="Calibri" w:hAnsi="Times New Roman" w:cs="Times New Roman"/>
          <w:b/>
          <w:bCs/>
          <w:kern w:val="2"/>
          <w:sz w:val="28"/>
          <w:szCs w:val="28"/>
          <w:lang w:val="ru-RU"/>
          <w14:ligatures w14:val="standardContextual"/>
        </w:rPr>
        <w:t>МГУ им. М.В. Ломоносова,</w:t>
      </w:r>
    </w:p>
    <w:p w14:paraId="464207AA" w14:textId="77777777" w:rsidR="00C955CA" w:rsidRDefault="00000000">
      <w:pPr>
        <w:spacing w:line="360" w:lineRule="auto"/>
        <w:ind w:firstLine="709"/>
        <w:jc w:val="right"/>
        <w:rPr>
          <w:rFonts w:ascii="Times New Roman" w:eastAsia="Calibri" w:hAnsi="Times New Roman" w:cs="Times New Roman"/>
          <w:b/>
          <w:bCs/>
          <w:kern w:val="2"/>
          <w:sz w:val="28"/>
          <w:szCs w:val="28"/>
          <w:lang w:val="ru-RU"/>
          <w14:ligatures w14:val="standardContextual"/>
        </w:rPr>
      </w:pPr>
      <w:r>
        <w:rPr>
          <w:rFonts w:ascii="Times New Roman" w:eastAsia="Calibri" w:hAnsi="Times New Roman" w:cs="Times New Roman"/>
          <w:b/>
          <w:bCs/>
          <w:kern w:val="2"/>
          <w:sz w:val="28"/>
          <w:szCs w:val="28"/>
          <w:lang w:val="ru-RU"/>
          <w14:ligatures w14:val="standardContextual"/>
        </w:rPr>
        <w:t>Российская Федерация, г. Москва</w:t>
      </w:r>
    </w:p>
    <w:p w14:paraId="6E2CCDE3" w14:textId="77777777" w:rsidR="00C955CA" w:rsidRDefault="00C955CA">
      <w:pPr>
        <w:spacing w:line="360" w:lineRule="auto"/>
        <w:ind w:firstLine="709"/>
        <w:jc w:val="right"/>
        <w:rPr>
          <w:rFonts w:ascii="Times New Roman" w:eastAsia="Calibri" w:hAnsi="Times New Roman" w:cs="Times New Roman"/>
          <w:b/>
          <w:bCs/>
          <w:kern w:val="2"/>
          <w:sz w:val="28"/>
          <w:szCs w:val="28"/>
          <w:lang w:val="ru-RU"/>
          <w14:ligatures w14:val="standardContextual"/>
        </w:rPr>
      </w:pPr>
      <w:hyperlink r:id="rId7">
        <w:r>
          <w:rPr>
            <w:rFonts w:ascii="Times New Roman" w:eastAsia="Calibri" w:hAnsi="Times New Roman" w:cs="Times New Roman"/>
            <w:b/>
            <w:bCs/>
            <w:color w:val="0563C1"/>
            <w:kern w:val="2"/>
            <w:sz w:val="28"/>
            <w:szCs w:val="28"/>
            <w:u w:val="single"/>
            <w:lang w:val="ru-RU"/>
            <w14:ligatures w14:val="standardContextual"/>
          </w:rPr>
          <w:t>liza.malumyan@gmail.com</w:t>
        </w:r>
      </w:hyperlink>
    </w:p>
    <w:p w14:paraId="47E36218" w14:textId="77777777" w:rsidR="00C955CA" w:rsidRDefault="00C955CA">
      <w:pPr>
        <w:spacing w:line="360" w:lineRule="auto"/>
        <w:ind w:firstLine="709"/>
        <w:jc w:val="both"/>
        <w:rPr>
          <w:rFonts w:ascii="Times New Roman" w:eastAsia="Calibri" w:hAnsi="Times New Roman" w:cs="Times New Roman"/>
          <w:b/>
          <w:bCs/>
          <w:kern w:val="2"/>
          <w:sz w:val="28"/>
          <w:szCs w:val="28"/>
          <w:lang w:val="ru-RU"/>
          <w14:ligatures w14:val="standardContextual"/>
        </w:rPr>
      </w:pPr>
    </w:p>
    <w:p w14:paraId="79370A75" w14:textId="77777777" w:rsidR="00C955CA" w:rsidRDefault="00000000">
      <w:pPr>
        <w:spacing w:line="360" w:lineRule="auto"/>
        <w:ind w:firstLine="709"/>
        <w:jc w:val="both"/>
        <w:rPr>
          <w:rFonts w:ascii="Times New Roman" w:eastAsia="Calibri" w:hAnsi="Times New Roman" w:cs="Times New Roman"/>
          <w:kern w:val="2"/>
          <w:sz w:val="28"/>
          <w:szCs w:val="28"/>
          <w:lang w:val="ru-RU"/>
          <w14:ligatures w14:val="standardContextual"/>
        </w:rPr>
      </w:pPr>
      <w:r>
        <w:rPr>
          <w:rFonts w:ascii="Times New Roman" w:eastAsia="Calibri" w:hAnsi="Times New Roman" w:cs="Times New Roman"/>
          <w:b/>
          <w:bCs/>
          <w:kern w:val="2"/>
          <w:sz w:val="28"/>
          <w:szCs w:val="28"/>
          <w:lang w:val="ru-RU"/>
          <w14:ligatures w14:val="standardContextual"/>
        </w:rPr>
        <w:t xml:space="preserve">Аннотация: </w:t>
      </w:r>
      <w:r>
        <w:rPr>
          <w:rFonts w:ascii="Times New Roman" w:eastAsia="Calibri" w:hAnsi="Times New Roman" w:cs="Times New Roman"/>
          <w:kern w:val="2"/>
          <w:sz w:val="28"/>
          <w:szCs w:val="28"/>
          <w:lang w:val="ru-RU"/>
          <w14:ligatures w14:val="standardContextual"/>
        </w:rPr>
        <w:t>Налоговые льготы требуют постоянного мониторинга их эффективности. Инвестиционные налоговые льготы - это фискальный инструмент, широко используемый российскими регионами для стимулирования капитальных вложений. Анализ методик по оценке экономической эффективности налоговых льгот позволил выделить существенные недостатки применяемых коэффициентов эффективности. Коэффициенты экономической эффективности подменяются показателями динамики, а также слабо увязаны с механизмом действия налоговых льгот. Поэтому возникают сложности с оценкой вклада налоговых льгот в активизацию инвестиционного процесса.</w:t>
      </w:r>
    </w:p>
    <w:p w14:paraId="4F991F3E" w14:textId="77777777" w:rsidR="00C955CA" w:rsidRDefault="00000000">
      <w:pPr>
        <w:spacing w:line="360" w:lineRule="auto"/>
        <w:ind w:firstLine="709"/>
        <w:jc w:val="both"/>
        <w:rPr>
          <w:rFonts w:ascii="Times New Roman" w:eastAsia="Calibri" w:hAnsi="Times New Roman" w:cs="Times New Roman"/>
          <w:kern w:val="2"/>
          <w:sz w:val="28"/>
          <w:szCs w:val="28"/>
          <w:lang w:val="ru-RU"/>
          <w14:ligatures w14:val="standardContextual"/>
        </w:rPr>
      </w:pPr>
      <w:r>
        <w:rPr>
          <w:rFonts w:ascii="Times New Roman" w:eastAsia="Calibri" w:hAnsi="Times New Roman" w:cs="Times New Roman"/>
          <w:b/>
          <w:bCs/>
          <w:kern w:val="2"/>
          <w:sz w:val="28"/>
          <w:szCs w:val="28"/>
          <w:lang w:val="ru-RU"/>
          <w14:ligatures w14:val="standardContextual"/>
        </w:rPr>
        <w:t>Ключевые слова:</w:t>
      </w:r>
      <w:r>
        <w:rPr>
          <w:rFonts w:eastAsia="Calibri" w:cs="Calibri"/>
          <w:kern w:val="2"/>
          <w:lang w:val="ru-RU"/>
          <w14:ligatures w14:val="standardContextual"/>
        </w:rPr>
        <w:t xml:space="preserve"> </w:t>
      </w:r>
      <w:r>
        <w:rPr>
          <w:rFonts w:ascii="Times New Roman" w:eastAsia="Calibri" w:hAnsi="Times New Roman" w:cs="Times New Roman"/>
          <w:kern w:val="2"/>
          <w:sz w:val="28"/>
          <w:szCs w:val="28"/>
          <w:lang w:val="ru-RU"/>
          <w14:ligatures w14:val="standardContextual"/>
        </w:rPr>
        <w:t>налоговые льготы, инвестиции, экономическая эффективность</w:t>
      </w:r>
    </w:p>
    <w:p w14:paraId="4050675D" w14:textId="77777777" w:rsidR="00C955CA" w:rsidRDefault="00000000">
      <w:pPr>
        <w:spacing w:line="360" w:lineRule="auto"/>
        <w:ind w:firstLine="709"/>
        <w:jc w:val="both"/>
        <w:rPr>
          <w:rFonts w:ascii="Times New Roman" w:eastAsia="Calibri" w:hAnsi="Times New Roman" w:cs="Times New Roman"/>
          <w:kern w:val="2"/>
          <w:sz w:val="28"/>
          <w:szCs w:val="28"/>
          <w:lang w:val="ru-RU"/>
          <w14:ligatures w14:val="standardContextual"/>
        </w:rPr>
      </w:pPr>
      <w:r>
        <w:rPr>
          <w:rFonts w:ascii="Times New Roman" w:eastAsia="Calibri" w:hAnsi="Times New Roman" w:cs="Times New Roman"/>
          <w:kern w:val="2"/>
          <w:sz w:val="28"/>
          <w:szCs w:val="28"/>
          <w:lang w:val="ru-RU"/>
          <w14:ligatures w14:val="standardContextual"/>
        </w:rPr>
        <w:t>В России уже более пяти лет осуществляется анализ и оценка эффективности налоговых расходов, возникающих в результате применения налоговых льгот, в том числе инвестиционных налоговых льгот и преференциальных налоговых режимов. В 2022 году в Основных направлениях бюджетной, налоговой и таможенно-тарифной политики на 2023 год и на плановый период 2024 и 2025 годов</w:t>
      </w:r>
      <w:r>
        <w:rPr>
          <w:rStyle w:val="a6"/>
          <w:rFonts w:ascii="Times New Roman" w:eastAsia="Calibri" w:hAnsi="Times New Roman" w:cs="Times New Roman"/>
          <w:kern w:val="2"/>
          <w:sz w:val="28"/>
          <w:szCs w:val="28"/>
          <w:lang w:val="ru-RU"/>
          <w14:ligatures w14:val="standardContextual"/>
        </w:rPr>
        <w:footnoteReference w:id="1"/>
      </w:r>
      <w:r>
        <w:rPr>
          <w:rFonts w:ascii="Times New Roman" w:eastAsia="Calibri" w:hAnsi="Times New Roman" w:cs="Times New Roman"/>
          <w:kern w:val="2"/>
          <w:sz w:val="28"/>
          <w:szCs w:val="28"/>
          <w:lang w:val="ru-RU"/>
          <w14:ligatures w14:val="standardContextual"/>
        </w:rPr>
        <w:t xml:space="preserve"> были представлены результаты анализа 35 инвестиционных налоговых льгот, из которых 12 - преференциальные налоговые режимы и 23 - отдельные инвестиционные </w:t>
      </w:r>
      <w:r>
        <w:rPr>
          <w:rFonts w:ascii="Times New Roman" w:eastAsia="Calibri" w:hAnsi="Times New Roman" w:cs="Times New Roman"/>
          <w:kern w:val="2"/>
          <w:sz w:val="28"/>
          <w:szCs w:val="28"/>
          <w:lang w:val="ru-RU"/>
          <w14:ligatures w14:val="standardContextual"/>
        </w:rPr>
        <w:lastRenderedPageBreak/>
        <w:t xml:space="preserve">налоговые льготы. Заметим, что полный перечень всех инвестиционных налоговых льгот не представлен, однако приведены результаты оценки эффективности таких преференциальных налоговых режимов, как </w:t>
      </w:r>
    </w:p>
    <w:p w14:paraId="679A2C74" w14:textId="77777777" w:rsidR="00C955CA" w:rsidRPr="00F76ACE" w:rsidRDefault="00000000" w:rsidP="00F76ACE">
      <w:pPr>
        <w:pStyle w:val="af0"/>
        <w:numPr>
          <w:ilvl w:val="0"/>
          <w:numId w:val="3"/>
        </w:numPr>
        <w:spacing w:line="360" w:lineRule="auto"/>
        <w:jc w:val="both"/>
        <w:rPr>
          <w:rFonts w:ascii="Calibri" w:eastAsia="Calibri" w:hAnsi="Calibri" w:cs="Calibri"/>
          <w:kern w:val="2"/>
          <w:lang w:val="ru-RU"/>
          <w14:ligatures w14:val="standardContextual"/>
        </w:rPr>
      </w:pPr>
      <w:r w:rsidRPr="00F76ACE">
        <w:rPr>
          <w:rFonts w:ascii="Times New Roman" w:eastAsia="Calibri" w:hAnsi="Times New Roman" w:cs="Times New Roman"/>
          <w:kern w:val="2"/>
          <w:sz w:val="28"/>
          <w:szCs w:val="28"/>
          <w:lang w:val="ru-RU"/>
          <w14:ligatures w14:val="standardContextual"/>
        </w:rPr>
        <w:t xml:space="preserve">особые экономические зоны (ОЭЗ), </w:t>
      </w:r>
    </w:p>
    <w:p w14:paraId="20A85DE5" w14:textId="77777777" w:rsidR="00C955CA" w:rsidRPr="00F76ACE" w:rsidRDefault="00000000" w:rsidP="00F76ACE">
      <w:pPr>
        <w:pStyle w:val="af0"/>
        <w:numPr>
          <w:ilvl w:val="0"/>
          <w:numId w:val="3"/>
        </w:numPr>
        <w:spacing w:line="360" w:lineRule="auto"/>
        <w:jc w:val="both"/>
        <w:rPr>
          <w:rFonts w:ascii="Calibri" w:eastAsia="Calibri" w:hAnsi="Calibri" w:cs="Calibri"/>
          <w:kern w:val="2"/>
          <w:lang w:val="ru-RU"/>
          <w14:ligatures w14:val="standardContextual"/>
        </w:rPr>
      </w:pPr>
      <w:r w:rsidRPr="00F76ACE">
        <w:rPr>
          <w:rFonts w:ascii="Times New Roman" w:eastAsia="Calibri" w:hAnsi="Times New Roman" w:cs="Times New Roman"/>
          <w:kern w:val="2"/>
          <w:sz w:val="28"/>
          <w:szCs w:val="28"/>
          <w:lang w:val="ru-RU"/>
          <w14:ligatures w14:val="standardContextual"/>
        </w:rPr>
        <w:t>территории опережающего социально-экономического развития (ТОР),</w:t>
      </w:r>
    </w:p>
    <w:p w14:paraId="7626E86A" w14:textId="77777777" w:rsidR="00C955CA" w:rsidRPr="00F76ACE" w:rsidRDefault="00000000" w:rsidP="00F76ACE">
      <w:pPr>
        <w:pStyle w:val="af0"/>
        <w:numPr>
          <w:ilvl w:val="0"/>
          <w:numId w:val="3"/>
        </w:numPr>
        <w:spacing w:line="360" w:lineRule="auto"/>
        <w:jc w:val="both"/>
        <w:rPr>
          <w:rFonts w:ascii="Calibri" w:eastAsia="Calibri" w:hAnsi="Calibri" w:cs="Calibri"/>
          <w:kern w:val="2"/>
          <w:lang w:val="ru-RU"/>
          <w14:ligatures w14:val="standardContextual"/>
        </w:rPr>
      </w:pPr>
      <w:r w:rsidRPr="00F76ACE">
        <w:rPr>
          <w:rFonts w:ascii="Times New Roman" w:eastAsia="Calibri" w:hAnsi="Times New Roman" w:cs="Times New Roman"/>
          <w:kern w:val="2"/>
          <w:sz w:val="28"/>
          <w:szCs w:val="28"/>
          <w:lang w:val="ru-RU"/>
          <w14:ligatures w14:val="standardContextual"/>
        </w:rPr>
        <w:t xml:space="preserve">региональные инвестиционные проекты (РИП), </w:t>
      </w:r>
    </w:p>
    <w:p w14:paraId="4DAF1CA0" w14:textId="77777777" w:rsidR="00C955CA" w:rsidRPr="00F76ACE" w:rsidRDefault="00000000" w:rsidP="00F76ACE">
      <w:pPr>
        <w:pStyle w:val="af0"/>
        <w:numPr>
          <w:ilvl w:val="0"/>
          <w:numId w:val="3"/>
        </w:numPr>
        <w:spacing w:line="360" w:lineRule="auto"/>
        <w:jc w:val="both"/>
        <w:rPr>
          <w:rFonts w:ascii="Calibri" w:eastAsia="Calibri" w:hAnsi="Calibri" w:cs="Calibri"/>
          <w:kern w:val="2"/>
          <w:lang w:val="ru-RU"/>
          <w14:ligatures w14:val="standardContextual"/>
        </w:rPr>
      </w:pPr>
      <w:r w:rsidRPr="00F76ACE">
        <w:rPr>
          <w:rFonts w:ascii="Times New Roman" w:eastAsia="Calibri" w:hAnsi="Times New Roman" w:cs="Times New Roman"/>
          <w:kern w:val="2"/>
          <w:sz w:val="28"/>
          <w:szCs w:val="28"/>
          <w:lang w:val="ru-RU"/>
          <w14:ligatures w14:val="standardContextual"/>
        </w:rPr>
        <w:t xml:space="preserve">специальные инвестиционные контракты (СПИК), </w:t>
      </w:r>
    </w:p>
    <w:p w14:paraId="51E9F22D" w14:textId="77777777" w:rsidR="00C955CA" w:rsidRPr="00F76ACE" w:rsidRDefault="00000000" w:rsidP="00F76ACE">
      <w:pPr>
        <w:pStyle w:val="af0"/>
        <w:numPr>
          <w:ilvl w:val="0"/>
          <w:numId w:val="3"/>
        </w:numPr>
        <w:spacing w:line="360" w:lineRule="auto"/>
        <w:jc w:val="both"/>
        <w:rPr>
          <w:rFonts w:ascii="Calibri" w:eastAsia="Calibri" w:hAnsi="Calibri" w:cs="Calibri"/>
          <w:kern w:val="2"/>
          <w:lang w:val="ru-RU"/>
          <w14:ligatures w14:val="standardContextual"/>
        </w:rPr>
      </w:pPr>
      <w:r w:rsidRPr="00F76ACE">
        <w:rPr>
          <w:rFonts w:ascii="Times New Roman" w:eastAsia="Calibri" w:hAnsi="Times New Roman" w:cs="Times New Roman"/>
          <w:kern w:val="2"/>
          <w:sz w:val="28"/>
          <w:szCs w:val="28"/>
          <w:lang w:val="ru-RU"/>
          <w14:ligatures w14:val="standardContextual"/>
        </w:rPr>
        <w:t xml:space="preserve">Свободный порт Владивосток (СПВ), </w:t>
      </w:r>
    </w:p>
    <w:p w14:paraId="16FC9033" w14:textId="77777777" w:rsidR="00C955CA" w:rsidRPr="00F76ACE" w:rsidRDefault="00000000" w:rsidP="00F76ACE">
      <w:pPr>
        <w:pStyle w:val="af0"/>
        <w:numPr>
          <w:ilvl w:val="0"/>
          <w:numId w:val="3"/>
        </w:numPr>
        <w:spacing w:line="360" w:lineRule="auto"/>
        <w:jc w:val="both"/>
        <w:rPr>
          <w:rFonts w:ascii="Calibri" w:eastAsia="Calibri" w:hAnsi="Calibri" w:cs="Calibri"/>
          <w:kern w:val="2"/>
          <w:lang w:val="ru-RU"/>
          <w14:ligatures w14:val="standardContextual"/>
        </w:rPr>
      </w:pPr>
      <w:r w:rsidRPr="00F76ACE">
        <w:rPr>
          <w:rFonts w:ascii="Times New Roman" w:eastAsia="Calibri" w:hAnsi="Times New Roman" w:cs="Times New Roman"/>
          <w:kern w:val="2"/>
          <w:sz w:val="28"/>
          <w:szCs w:val="28"/>
          <w:lang w:val="ru-RU"/>
          <w14:ligatures w14:val="standardContextual"/>
        </w:rPr>
        <w:t xml:space="preserve">режим для резидентов Арктической зоны Российской Федерации (АЗРФ) </w:t>
      </w:r>
    </w:p>
    <w:p w14:paraId="7234C4EC" w14:textId="77777777" w:rsidR="00C955CA" w:rsidRPr="00F76ACE" w:rsidRDefault="00000000" w:rsidP="00F76ACE">
      <w:pPr>
        <w:pStyle w:val="af0"/>
        <w:numPr>
          <w:ilvl w:val="0"/>
          <w:numId w:val="3"/>
        </w:numPr>
        <w:spacing w:line="360" w:lineRule="auto"/>
        <w:jc w:val="both"/>
        <w:rPr>
          <w:rFonts w:ascii="Times New Roman" w:eastAsia="Calibri" w:hAnsi="Times New Roman" w:cs="Times New Roman"/>
          <w:kern w:val="2"/>
          <w:sz w:val="28"/>
          <w:szCs w:val="28"/>
          <w:lang w:val="ru-RU"/>
          <w14:ligatures w14:val="standardContextual"/>
        </w:rPr>
      </w:pPr>
      <w:r w:rsidRPr="00F76ACE">
        <w:rPr>
          <w:rFonts w:ascii="Times New Roman" w:eastAsia="Calibri" w:hAnsi="Times New Roman" w:cs="Times New Roman"/>
          <w:kern w:val="2"/>
          <w:sz w:val="28"/>
          <w:szCs w:val="28"/>
          <w:lang w:val="ru-RU"/>
          <w14:ligatures w14:val="standardContextual"/>
        </w:rPr>
        <w:t xml:space="preserve">и инвестиционный налоговый вычет (ИНВ), </w:t>
      </w:r>
    </w:p>
    <w:p w14:paraId="6D738E1D" w14:textId="77777777" w:rsidR="00C955CA" w:rsidRDefault="00000000">
      <w:pPr>
        <w:spacing w:line="360" w:lineRule="auto"/>
        <w:ind w:firstLine="709"/>
        <w:jc w:val="both"/>
        <w:rPr>
          <w:rFonts w:ascii="Times New Roman" w:eastAsia="Calibri" w:hAnsi="Times New Roman" w:cs="Times New Roman"/>
          <w:kern w:val="2"/>
          <w:sz w:val="28"/>
          <w:szCs w:val="28"/>
          <w:lang w:val="ru-RU"/>
          <w14:ligatures w14:val="standardContextual"/>
        </w:rPr>
      </w:pPr>
      <w:r>
        <w:rPr>
          <w:rFonts w:ascii="Times New Roman" w:eastAsia="Calibri" w:hAnsi="Times New Roman" w:cs="Times New Roman"/>
          <w:kern w:val="2"/>
          <w:sz w:val="28"/>
          <w:szCs w:val="28"/>
          <w:lang w:val="ru-RU"/>
          <w14:ligatures w14:val="standardContextual"/>
        </w:rPr>
        <w:t xml:space="preserve">а также выделены налоговые льготы, которые относятся к инвестиционным и используются в рамках каждого указанного выше преференциального налогового режима. </w:t>
      </w:r>
    </w:p>
    <w:p w14:paraId="051FDC75" w14:textId="77777777" w:rsidR="00C955CA" w:rsidRDefault="00000000">
      <w:pPr>
        <w:spacing w:line="360" w:lineRule="auto"/>
        <w:ind w:firstLine="709"/>
        <w:jc w:val="both"/>
        <w:rPr>
          <w:rFonts w:ascii="Times New Roman" w:eastAsia="Calibri" w:hAnsi="Times New Roman" w:cs="Times New Roman"/>
          <w:kern w:val="2"/>
          <w:sz w:val="28"/>
          <w:szCs w:val="28"/>
          <w:lang w:val="ru-RU"/>
          <w14:ligatures w14:val="standardContextual"/>
        </w:rPr>
      </w:pPr>
      <w:r>
        <w:rPr>
          <w:rFonts w:ascii="Times New Roman" w:eastAsia="Calibri" w:hAnsi="Times New Roman" w:cs="Times New Roman"/>
          <w:kern w:val="2"/>
          <w:sz w:val="28"/>
          <w:szCs w:val="28"/>
          <w:lang w:val="ru-RU"/>
          <w14:ligatures w14:val="standardContextual"/>
        </w:rPr>
        <w:t>Принимая во внимание важное значение инвестиционных налоговых льгот и преференциальных налоговых режимов для достижения целей налоговой политики по поддержке и стимулированию инвестиций, в 2022 году была запущена в эксплуатацию аналитическая система "Эффективность льгот" для проведения системной автоматизированной оценки эффективности инвестиционных налоговых льгот (ИНЛ).</w:t>
      </w:r>
    </w:p>
    <w:p w14:paraId="325939F7" w14:textId="77777777" w:rsidR="00C955CA" w:rsidRDefault="00000000">
      <w:pPr>
        <w:spacing w:line="360" w:lineRule="auto"/>
        <w:ind w:firstLine="709"/>
        <w:jc w:val="both"/>
        <w:rPr>
          <w:rFonts w:ascii="Times New Roman" w:eastAsia="Calibri" w:hAnsi="Times New Roman" w:cs="Times New Roman"/>
          <w:kern w:val="2"/>
          <w:sz w:val="28"/>
          <w:szCs w:val="28"/>
          <w:lang w:val="ru-RU"/>
          <w14:ligatures w14:val="standardContextual"/>
        </w:rPr>
      </w:pPr>
      <w:r>
        <w:rPr>
          <w:rFonts w:ascii="Times New Roman" w:eastAsia="Calibri" w:hAnsi="Times New Roman" w:cs="Times New Roman"/>
          <w:kern w:val="2"/>
          <w:sz w:val="28"/>
          <w:szCs w:val="28"/>
          <w:lang w:val="ru-RU"/>
          <w14:ligatures w14:val="standardContextual"/>
        </w:rPr>
        <w:t>В 2023 году была продолжена доработка системы как в части совершенствования подходов к сформированным алгоритмам анализа по налогоплательщикам, так и в части добавления отдельного модуля для автоматизированной оценки эффективности налога на дополнительный доход от добычи углеводородного сырья.</w:t>
      </w:r>
    </w:p>
    <w:p w14:paraId="24117AD2" w14:textId="77777777" w:rsidR="00C955CA" w:rsidRDefault="00000000">
      <w:pPr>
        <w:spacing w:line="360" w:lineRule="auto"/>
        <w:ind w:firstLine="709"/>
        <w:jc w:val="both"/>
        <w:rPr>
          <w:rFonts w:ascii="Times New Roman" w:eastAsia="Calibri" w:hAnsi="Times New Roman" w:cs="Times New Roman"/>
          <w:kern w:val="2"/>
          <w:sz w:val="28"/>
          <w:szCs w:val="28"/>
          <w:lang w:val="ru-RU"/>
          <w14:ligatures w14:val="standardContextual"/>
        </w:rPr>
      </w:pPr>
      <w:r>
        <w:rPr>
          <w:rFonts w:ascii="Times New Roman" w:eastAsia="Calibri" w:hAnsi="Times New Roman" w:cs="Times New Roman"/>
          <w:kern w:val="2"/>
          <w:sz w:val="28"/>
          <w:szCs w:val="28"/>
          <w:lang w:val="ru-RU"/>
          <w14:ligatures w14:val="standardContextual"/>
        </w:rPr>
        <w:t xml:space="preserve">В анализ были добавлены данные по неналоговым мерам поддержки: субсидии и таможенные льготы и преференции, предоставляемые резидентам и участникам анализируемых ИНЛ. Помимо этого, в анализ была интегрирована имеющаяся в базах данных АИС "Налог-3" информация о результатах мероприятий налогового контроля анализируемых </w:t>
      </w:r>
      <w:r>
        <w:rPr>
          <w:rFonts w:ascii="Times New Roman" w:eastAsia="Calibri" w:hAnsi="Times New Roman" w:cs="Times New Roman"/>
          <w:kern w:val="2"/>
          <w:sz w:val="28"/>
          <w:szCs w:val="28"/>
          <w:lang w:val="ru-RU"/>
          <w14:ligatures w14:val="standardContextual"/>
        </w:rPr>
        <w:lastRenderedPageBreak/>
        <w:t>налогоплательщиков, которым по результатам таких мероприятий присвоен высокий налоговый риск (например, выявление фирм-однодневок).</w:t>
      </w:r>
    </w:p>
    <w:p w14:paraId="4DA185B5" w14:textId="77777777" w:rsidR="00C955CA" w:rsidRDefault="00000000">
      <w:pPr>
        <w:spacing w:line="360" w:lineRule="auto"/>
        <w:ind w:firstLine="709"/>
        <w:jc w:val="both"/>
        <w:rPr>
          <w:rFonts w:ascii="Times New Roman" w:eastAsia="Calibri" w:hAnsi="Times New Roman" w:cs="Times New Roman"/>
          <w:kern w:val="2"/>
          <w:sz w:val="28"/>
          <w:szCs w:val="28"/>
          <w:lang w:val="ru-RU"/>
          <w14:ligatures w14:val="standardContextual"/>
        </w:rPr>
      </w:pPr>
      <w:r>
        <w:rPr>
          <w:rFonts w:ascii="Times New Roman" w:eastAsia="Calibri" w:hAnsi="Times New Roman" w:cs="Times New Roman"/>
          <w:kern w:val="2"/>
          <w:sz w:val="28"/>
          <w:szCs w:val="28"/>
          <w:lang w:val="ru-RU"/>
          <w14:ligatures w14:val="standardContextual"/>
        </w:rPr>
        <w:t>Подход к анализу эффективности льгот, заложенный в систему, базируется на оценке влияния налоговых льгот и неналоговых мер поддержки на финансово-экономические показатели деятельности налогоплательщиков в сопоставлении с установленными уровнями и среднеотраслевыми индикаторами.</w:t>
      </w:r>
    </w:p>
    <w:p w14:paraId="48934C2B" w14:textId="77777777" w:rsidR="00C955CA" w:rsidRDefault="00000000">
      <w:pPr>
        <w:spacing w:line="360" w:lineRule="auto"/>
        <w:ind w:firstLine="709"/>
        <w:jc w:val="both"/>
        <w:rPr>
          <w:rFonts w:ascii="Times New Roman" w:eastAsia="Calibri" w:hAnsi="Times New Roman" w:cs="Times New Roman"/>
          <w:kern w:val="2"/>
          <w:sz w:val="28"/>
          <w:szCs w:val="28"/>
          <w:lang w:val="ru-RU"/>
          <w14:ligatures w14:val="standardContextual"/>
        </w:rPr>
      </w:pPr>
      <w:r>
        <w:rPr>
          <w:rFonts w:ascii="Times New Roman" w:eastAsia="Calibri" w:hAnsi="Times New Roman" w:cs="Times New Roman"/>
          <w:kern w:val="2"/>
          <w:sz w:val="28"/>
          <w:szCs w:val="28"/>
          <w:lang w:val="ru-RU"/>
          <w14:ligatures w14:val="standardContextual"/>
        </w:rPr>
        <w:t>В рамках заложенного подхода в периметр анализа включаются все налогоплательщики, применяющие ту или иную ИНЛ, за исключением тех, по которым отсутствуют налоговые декларации или бухгалтерская отчетность. Система позволяет проводить анализ по каждому налогоплательщику, однако в связи с установленными ограничениями по разглашению сведений, составляющих налоговую тайну, результаты анализа представлены агрегировано.</w:t>
      </w:r>
    </w:p>
    <w:p w14:paraId="55DDD82C" w14:textId="77777777" w:rsidR="00C955CA" w:rsidRDefault="00000000">
      <w:pPr>
        <w:spacing w:line="360" w:lineRule="auto"/>
        <w:ind w:firstLine="709"/>
        <w:jc w:val="both"/>
        <w:rPr>
          <w:rFonts w:ascii="Times New Roman" w:eastAsia="Calibri" w:hAnsi="Times New Roman" w:cs="Times New Roman"/>
          <w:kern w:val="2"/>
          <w:sz w:val="28"/>
          <w:szCs w:val="28"/>
          <w:lang w:val="ru-RU"/>
          <w14:ligatures w14:val="standardContextual"/>
        </w:rPr>
      </w:pPr>
      <w:r>
        <w:rPr>
          <w:rFonts w:ascii="Times New Roman" w:eastAsia="Calibri" w:hAnsi="Times New Roman" w:cs="Times New Roman"/>
          <w:kern w:val="2"/>
          <w:sz w:val="28"/>
          <w:szCs w:val="28"/>
          <w:lang w:val="ru-RU"/>
          <w14:ligatures w14:val="standardContextual"/>
        </w:rPr>
        <w:t>По результатам проведения автоматизированной оценки налогоплательщикам присваивается статус в зависимости от эффективности применения ИНЛ:</w:t>
      </w:r>
    </w:p>
    <w:p w14:paraId="3ABB05EC" w14:textId="77777777" w:rsidR="00C955CA" w:rsidRDefault="00000000">
      <w:pPr>
        <w:spacing w:line="360" w:lineRule="auto"/>
        <w:ind w:firstLine="709"/>
        <w:jc w:val="both"/>
        <w:rPr>
          <w:rFonts w:ascii="Times New Roman" w:eastAsia="Calibri" w:hAnsi="Times New Roman" w:cs="Times New Roman"/>
          <w:kern w:val="2"/>
          <w:sz w:val="28"/>
          <w:szCs w:val="28"/>
          <w:lang w:val="ru-RU"/>
          <w14:ligatures w14:val="standardContextual"/>
        </w:rPr>
      </w:pPr>
      <w:r>
        <w:rPr>
          <w:rFonts w:ascii="Times New Roman" w:eastAsia="Calibri" w:hAnsi="Times New Roman" w:cs="Times New Roman"/>
          <w:kern w:val="2"/>
          <w:sz w:val="28"/>
          <w:szCs w:val="28"/>
          <w:lang w:val="ru-RU"/>
          <w14:ligatures w14:val="standardContextual"/>
        </w:rPr>
        <w:t>1. "Зеленый", если применение льгот не приводит к формированию сверхдоходности у налогоплательщика (по показателям доходность активов и операционная рентабельность), либо в случае высокого уровня инвестиционной активности, прироста численности сотрудников и расходов на оплату труда и НИОКР за счет применения ИНЛ при условии отсутствия у налогоплательщика высокого налогового риска в последний год анализируемого периода.</w:t>
      </w:r>
    </w:p>
    <w:p w14:paraId="33DF04D4" w14:textId="77777777" w:rsidR="00C955CA" w:rsidRDefault="00000000">
      <w:pPr>
        <w:spacing w:line="360" w:lineRule="auto"/>
        <w:ind w:firstLine="709"/>
        <w:jc w:val="both"/>
        <w:rPr>
          <w:rFonts w:ascii="Times New Roman" w:eastAsia="Calibri" w:hAnsi="Times New Roman" w:cs="Times New Roman"/>
          <w:kern w:val="2"/>
          <w:sz w:val="28"/>
          <w:szCs w:val="28"/>
          <w:lang w:val="ru-RU"/>
          <w14:ligatures w14:val="standardContextual"/>
        </w:rPr>
      </w:pPr>
      <w:r>
        <w:rPr>
          <w:rFonts w:ascii="Times New Roman" w:eastAsia="Calibri" w:hAnsi="Times New Roman" w:cs="Times New Roman"/>
          <w:kern w:val="2"/>
          <w:sz w:val="28"/>
          <w:szCs w:val="28"/>
          <w:lang w:val="ru-RU"/>
          <w14:ligatures w14:val="standardContextual"/>
        </w:rPr>
        <w:t>2. "Красный", если применение льгот приводит к формированию сверхдоходности у налогоплательщика, или в случае низкого уровня инвестиционной активности, отсутствия прироста численности сотрудников и расходов на оплату труда и НИОКР за счет применения ИНЛ, а также если в последний год анализируемого периода налогоплательщику присвоен высокий налоговый риск.</w:t>
      </w:r>
    </w:p>
    <w:p w14:paraId="0DC9078B" w14:textId="77777777" w:rsidR="00C955CA" w:rsidRDefault="00000000">
      <w:pPr>
        <w:spacing w:line="360" w:lineRule="auto"/>
        <w:ind w:firstLine="709"/>
        <w:jc w:val="both"/>
        <w:rPr>
          <w:rFonts w:ascii="Times New Roman" w:eastAsia="Calibri" w:hAnsi="Times New Roman" w:cs="Times New Roman"/>
          <w:kern w:val="2"/>
          <w:sz w:val="28"/>
          <w:szCs w:val="28"/>
          <w:lang w:val="ru-RU"/>
          <w14:ligatures w14:val="standardContextual"/>
        </w:rPr>
      </w:pPr>
      <w:r>
        <w:rPr>
          <w:rFonts w:ascii="Times New Roman" w:eastAsia="Calibri" w:hAnsi="Times New Roman" w:cs="Times New Roman"/>
          <w:kern w:val="2"/>
          <w:sz w:val="28"/>
          <w:szCs w:val="28"/>
          <w:lang w:val="ru-RU"/>
          <w14:ligatures w14:val="standardContextual"/>
        </w:rPr>
        <w:lastRenderedPageBreak/>
        <w:t>По итогам получения налогоплательщиками статуса формируется вывод в целом по ИНЛ в зависимости от ее типа:</w:t>
      </w:r>
    </w:p>
    <w:p w14:paraId="743320C1" w14:textId="77777777" w:rsidR="00C955CA" w:rsidRDefault="00000000">
      <w:pPr>
        <w:spacing w:line="360" w:lineRule="auto"/>
        <w:ind w:firstLine="709"/>
        <w:jc w:val="both"/>
        <w:rPr>
          <w:rFonts w:ascii="Times New Roman" w:eastAsia="Calibri" w:hAnsi="Times New Roman" w:cs="Times New Roman"/>
          <w:kern w:val="2"/>
          <w:sz w:val="28"/>
          <w:szCs w:val="28"/>
          <w:lang w:val="ru-RU"/>
          <w14:ligatures w14:val="standardContextual"/>
        </w:rPr>
      </w:pPr>
      <w:r>
        <w:rPr>
          <w:rFonts w:ascii="Times New Roman" w:eastAsia="Calibri" w:hAnsi="Times New Roman" w:cs="Times New Roman"/>
          <w:kern w:val="2"/>
          <w:sz w:val="28"/>
          <w:szCs w:val="28"/>
          <w:lang w:val="ru-RU"/>
          <w14:ligatures w14:val="standardContextual"/>
        </w:rPr>
        <w:t>1. Если ИНЛ представляет собой преференциальный налоговый режим, применяемый разными отраслями, то вывод об эффективности выносится на основе совокупной доли выручки "красных" налогоплательщиков в общем объеме выручки налогоплательщиков данного режима:</w:t>
      </w:r>
    </w:p>
    <w:p w14:paraId="687C9455" w14:textId="77777777" w:rsidR="00C955CA" w:rsidRDefault="00000000">
      <w:pPr>
        <w:spacing w:line="360" w:lineRule="auto"/>
        <w:ind w:firstLine="709"/>
        <w:jc w:val="both"/>
        <w:rPr>
          <w:rFonts w:ascii="Times New Roman" w:eastAsia="Calibri" w:hAnsi="Times New Roman" w:cs="Times New Roman"/>
          <w:kern w:val="2"/>
          <w:sz w:val="28"/>
          <w:szCs w:val="28"/>
          <w:lang w:val="ru-RU"/>
          <w14:ligatures w14:val="standardContextual"/>
        </w:rPr>
      </w:pPr>
      <w:r>
        <w:rPr>
          <w:rFonts w:ascii="Times New Roman" w:eastAsia="Calibri" w:hAnsi="Times New Roman" w:cs="Times New Roman"/>
          <w:kern w:val="2"/>
          <w:sz w:val="28"/>
          <w:szCs w:val="28"/>
          <w:lang w:val="ru-RU"/>
          <w14:ligatures w14:val="standardContextual"/>
        </w:rPr>
        <w:t>- в случае превышения доли выручки "красных" налогоплательщиков заданного значения (70%) признается, что режим требует "донастройки" в целом и, как следствие, необходимо уточнение периметра применяемых налоговых льгот и неналоговых мер поддержки в режиме,</w:t>
      </w:r>
    </w:p>
    <w:p w14:paraId="0E53636A" w14:textId="77777777" w:rsidR="00C955CA" w:rsidRDefault="00000000">
      <w:pPr>
        <w:spacing w:line="360" w:lineRule="auto"/>
        <w:ind w:firstLine="709"/>
        <w:jc w:val="both"/>
        <w:rPr>
          <w:rFonts w:ascii="Times New Roman" w:eastAsia="Calibri" w:hAnsi="Times New Roman" w:cs="Times New Roman"/>
          <w:kern w:val="2"/>
          <w:sz w:val="28"/>
          <w:szCs w:val="28"/>
          <w:lang w:val="ru-RU"/>
          <w14:ligatures w14:val="standardContextual"/>
        </w:rPr>
      </w:pPr>
      <w:r>
        <w:rPr>
          <w:rFonts w:ascii="Times New Roman" w:eastAsia="Calibri" w:hAnsi="Times New Roman" w:cs="Times New Roman"/>
          <w:kern w:val="2"/>
          <w:sz w:val="28"/>
          <w:szCs w:val="28"/>
          <w:lang w:val="ru-RU"/>
          <w14:ligatures w14:val="standardContextual"/>
        </w:rPr>
        <w:t>- в случае, если доля выручки "красных" налогоплательщиков в целом по режиму не превышает заданного значения (70%), однако присутствует превышение по отдельным отраслям, то по ряду направлений режим требует "донастройки",</w:t>
      </w:r>
    </w:p>
    <w:p w14:paraId="30198784" w14:textId="77777777" w:rsidR="00C955CA" w:rsidRDefault="00000000">
      <w:pPr>
        <w:spacing w:line="360" w:lineRule="auto"/>
        <w:ind w:firstLine="709"/>
        <w:jc w:val="both"/>
        <w:rPr>
          <w:rFonts w:ascii="Times New Roman" w:eastAsia="Calibri" w:hAnsi="Times New Roman" w:cs="Times New Roman"/>
          <w:kern w:val="2"/>
          <w:sz w:val="28"/>
          <w:szCs w:val="28"/>
          <w:lang w:val="ru-RU"/>
          <w14:ligatures w14:val="standardContextual"/>
        </w:rPr>
      </w:pPr>
      <w:r>
        <w:rPr>
          <w:rFonts w:ascii="Times New Roman" w:eastAsia="Calibri" w:hAnsi="Times New Roman" w:cs="Times New Roman"/>
          <w:kern w:val="2"/>
          <w:sz w:val="28"/>
          <w:szCs w:val="28"/>
          <w:lang w:val="ru-RU"/>
          <w14:ligatures w14:val="standardContextual"/>
        </w:rPr>
        <w:t>- в случае отсутствия превышения заданного значения (70%) как по режиму в целом, так и по отдельным отраслям, режим признается эффективным.</w:t>
      </w:r>
    </w:p>
    <w:p w14:paraId="5E709AA8" w14:textId="77777777" w:rsidR="00C955CA" w:rsidRDefault="00000000">
      <w:pPr>
        <w:spacing w:line="360" w:lineRule="auto"/>
        <w:ind w:firstLine="709"/>
        <w:jc w:val="both"/>
        <w:rPr>
          <w:rFonts w:ascii="Times New Roman" w:eastAsia="Calibri" w:hAnsi="Times New Roman" w:cs="Times New Roman"/>
          <w:kern w:val="2"/>
          <w:sz w:val="28"/>
          <w:szCs w:val="28"/>
          <w:lang w:val="ru-RU"/>
          <w14:ligatures w14:val="standardContextual"/>
        </w:rPr>
      </w:pPr>
      <w:r>
        <w:rPr>
          <w:rFonts w:ascii="Times New Roman" w:eastAsia="Calibri" w:hAnsi="Times New Roman" w:cs="Times New Roman"/>
          <w:kern w:val="2"/>
          <w:sz w:val="28"/>
          <w:szCs w:val="28"/>
          <w:lang w:val="ru-RU"/>
          <w14:ligatures w14:val="standardContextual"/>
        </w:rPr>
        <w:t>2. Если ИНЛ представляет собой отдельную льготу, то вывод об эффективности выносится на основе результатов оценки влияния данной льготы на финансово-экономические показатели деятельности налогоплательщиков без учета эффекта от применения других ИНЛ:</w:t>
      </w:r>
    </w:p>
    <w:p w14:paraId="20EA18B8" w14:textId="77777777" w:rsidR="00C955CA" w:rsidRDefault="00000000">
      <w:pPr>
        <w:spacing w:line="360" w:lineRule="auto"/>
        <w:ind w:firstLine="709"/>
        <w:jc w:val="both"/>
        <w:rPr>
          <w:rFonts w:ascii="Times New Roman" w:eastAsia="Calibri" w:hAnsi="Times New Roman" w:cs="Times New Roman"/>
          <w:kern w:val="2"/>
          <w:sz w:val="28"/>
          <w:szCs w:val="28"/>
          <w:lang w:val="ru-RU"/>
          <w14:ligatures w14:val="standardContextual"/>
        </w:rPr>
      </w:pPr>
      <w:r>
        <w:rPr>
          <w:rFonts w:ascii="Times New Roman" w:eastAsia="Calibri" w:hAnsi="Times New Roman" w:cs="Times New Roman"/>
          <w:kern w:val="2"/>
          <w:sz w:val="28"/>
          <w:szCs w:val="28"/>
          <w:lang w:val="ru-RU"/>
          <w14:ligatures w14:val="standardContextual"/>
        </w:rPr>
        <w:t>- в случае превышения доли выручки "красных" налогоплательщиков заданного значения (70%) с учетом элиминирования эффекта от других ИНЛ, признается, что льгота требует "донастройки",</w:t>
      </w:r>
    </w:p>
    <w:p w14:paraId="4FC2FDB8" w14:textId="77777777" w:rsidR="00C955CA" w:rsidRDefault="00000000">
      <w:pPr>
        <w:spacing w:line="360" w:lineRule="auto"/>
        <w:ind w:firstLine="709"/>
        <w:jc w:val="both"/>
        <w:rPr>
          <w:rFonts w:ascii="Times New Roman" w:eastAsia="Calibri" w:hAnsi="Times New Roman" w:cs="Times New Roman"/>
          <w:kern w:val="2"/>
          <w:sz w:val="28"/>
          <w:szCs w:val="28"/>
          <w:lang w:val="ru-RU"/>
          <w14:ligatures w14:val="standardContextual"/>
        </w:rPr>
      </w:pPr>
      <w:r>
        <w:rPr>
          <w:rFonts w:ascii="Times New Roman" w:eastAsia="Calibri" w:hAnsi="Times New Roman" w:cs="Times New Roman"/>
          <w:kern w:val="2"/>
          <w:sz w:val="28"/>
          <w:szCs w:val="28"/>
          <w:lang w:val="ru-RU"/>
          <w14:ligatures w14:val="standardContextual"/>
        </w:rPr>
        <w:t>- в случае отсутствия превышения доли выручки "красных" налогоплательщиков заданного значения (70%) с учетом элиминирования эффекта от других ИНЛ, льгота признается эффективной.</w:t>
      </w:r>
    </w:p>
    <w:p w14:paraId="068C6280" w14:textId="77777777" w:rsidR="00C955CA" w:rsidRDefault="00000000">
      <w:pPr>
        <w:spacing w:line="360" w:lineRule="auto"/>
        <w:ind w:firstLine="709"/>
        <w:jc w:val="both"/>
        <w:rPr>
          <w:rFonts w:ascii="Times New Roman" w:eastAsia="Calibri" w:hAnsi="Times New Roman" w:cs="Times New Roman"/>
          <w:kern w:val="2"/>
          <w:sz w:val="28"/>
          <w:szCs w:val="28"/>
          <w:lang w:val="ru-RU"/>
          <w14:ligatures w14:val="standardContextual"/>
        </w:rPr>
      </w:pPr>
      <w:r>
        <w:rPr>
          <w:rFonts w:ascii="Times New Roman" w:eastAsia="Calibri" w:hAnsi="Times New Roman" w:cs="Times New Roman"/>
          <w:kern w:val="2"/>
          <w:sz w:val="28"/>
          <w:szCs w:val="28"/>
          <w:lang w:val="ru-RU"/>
          <w14:ligatures w14:val="standardContextual"/>
        </w:rPr>
        <w:t>В АС "Эффективность льгот" было проанализировано 35 ИНЛ, из которых 12 преференциальных налоговых режимов.</w:t>
      </w:r>
    </w:p>
    <w:p w14:paraId="52AB7621" w14:textId="77777777" w:rsidR="00C955CA" w:rsidRDefault="00000000">
      <w:pPr>
        <w:spacing w:line="360" w:lineRule="auto"/>
        <w:ind w:firstLine="709"/>
        <w:jc w:val="both"/>
        <w:rPr>
          <w:rFonts w:ascii="Times New Roman" w:eastAsia="Calibri" w:hAnsi="Times New Roman" w:cs="Times New Roman"/>
          <w:kern w:val="2"/>
          <w:sz w:val="28"/>
          <w:szCs w:val="28"/>
          <w:lang w:val="ru-RU"/>
          <w14:ligatures w14:val="standardContextual"/>
        </w:rPr>
      </w:pPr>
      <w:r>
        <w:rPr>
          <w:rFonts w:ascii="Times New Roman" w:eastAsia="Calibri" w:hAnsi="Times New Roman" w:cs="Times New Roman"/>
          <w:kern w:val="2"/>
          <w:sz w:val="28"/>
          <w:szCs w:val="28"/>
          <w:lang w:val="ru-RU"/>
          <w14:ligatures w14:val="standardContextual"/>
        </w:rPr>
        <w:lastRenderedPageBreak/>
        <w:t>Результаты проведенного в 2023 году анализа показали, что выводы по преференциальным налоговым режимам не изменились по сравнению с результатами анализа 2022 года - 12 режимов требуют "донастройки". При этом по ряду режимов (особые экономические зоны в Калининградской и Магаданской областях, Арктическая зона Российской Федерации) отмечается снижение доли выручки "красных" налогоплательщиков, у которых применение предусмотренных режимом налоговых льгот и неналоговых мер поддержки формирует сверхдоходность, в общей величине выручки по режиму.</w:t>
      </w:r>
    </w:p>
    <w:p w14:paraId="16DFC195" w14:textId="77777777" w:rsidR="00C955CA" w:rsidRDefault="00000000">
      <w:pPr>
        <w:spacing w:line="360" w:lineRule="auto"/>
        <w:ind w:firstLine="709"/>
        <w:jc w:val="both"/>
        <w:rPr>
          <w:rFonts w:ascii="Times New Roman" w:eastAsia="Calibri" w:hAnsi="Times New Roman" w:cs="Times New Roman"/>
          <w:kern w:val="2"/>
          <w:sz w:val="28"/>
          <w:szCs w:val="28"/>
          <w:lang w:val="ru-RU"/>
          <w14:ligatures w14:val="standardContextual"/>
        </w:rPr>
      </w:pPr>
      <w:r>
        <w:rPr>
          <w:rFonts w:ascii="Times New Roman" w:eastAsia="Calibri" w:hAnsi="Times New Roman" w:cs="Times New Roman"/>
          <w:kern w:val="2"/>
          <w:sz w:val="28"/>
          <w:szCs w:val="28"/>
          <w:lang w:val="ru-RU"/>
          <w14:ligatures w14:val="standardContextual"/>
        </w:rPr>
        <w:t>Предложения субъектов Российской Федерации</w:t>
      </w:r>
      <w:r>
        <w:rPr>
          <w:rStyle w:val="a6"/>
          <w:rFonts w:ascii="Times New Roman" w:eastAsia="Calibri" w:hAnsi="Times New Roman" w:cs="Times New Roman"/>
          <w:kern w:val="2"/>
          <w:sz w:val="28"/>
          <w:szCs w:val="28"/>
          <w:lang w:val="ru-RU"/>
          <w14:ligatures w14:val="standardContextual"/>
        </w:rPr>
        <w:footnoteReference w:id="2"/>
      </w:r>
      <w:r>
        <w:rPr>
          <w:rFonts w:ascii="Times New Roman" w:eastAsia="Calibri" w:hAnsi="Times New Roman" w:cs="Times New Roman"/>
          <w:kern w:val="2"/>
          <w:sz w:val="28"/>
          <w:szCs w:val="28"/>
          <w:lang w:val="ru-RU"/>
          <w14:ligatures w14:val="standardContextual"/>
        </w:rPr>
        <w:t xml:space="preserve"> по внесению изменений в Налоговый </w:t>
      </w:r>
      <w:hyperlink r:id="rId8">
        <w:r w:rsidR="00C955CA">
          <w:rPr>
            <w:rFonts w:ascii="Times New Roman" w:eastAsia="Calibri" w:hAnsi="Times New Roman" w:cs="Times New Roman"/>
            <w:kern w:val="2"/>
            <w:sz w:val="28"/>
            <w:szCs w:val="28"/>
            <w:lang w:val="ru-RU"/>
            <w14:ligatures w14:val="standardContextual"/>
          </w:rPr>
          <w:t>кодекс</w:t>
        </w:r>
      </w:hyperlink>
      <w:r>
        <w:rPr>
          <w:rFonts w:ascii="Times New Roman" w:eastAsia="Calibri" w:hAnsi="Times New Roman" w:cs="Times New Roman"/>
          <w:kern w:val="2"/>
          <w:sz w:val="28"/>
          <w:szCs w:val="28"/>
          <w:lang w:val="ru-RU"/>
          <w14:ligatures w14:val="standardContextual"/>
        </w:rPr>
        <w:t> Российской Федерации, направленные на совершенствование налогового регулирования ряда преференциальных налоговых режимов для новых резидентов (участников):</w:t>
      </w:r>
    </w:p>
    <w:p w14:paraId="211232B2" w14:textId="77777777" w:rsidR="00C955CA" w:rsidRDefault="00000000">
      <w:pPr>
        <w:spacing w:line="360" w:lineRule="auto"/>
        <w:ind w:firstLine="709"/>
        <w:jc w:val="both"/>
        <w:rPr>
          <w:rFonts w:ascii="Times New Roman" w:eastAsia="Calibri" w:hAnsi="Times New Roman" w:cs="Times New Roman"/>
          <w:kern w:val="2"/>
          <w:sz w:val="28"/>
          <w:szCs w:val="28"/>
          <w:lang w:val="ru-RU"/>
          <w14:ligatures w14:val="standardContextual"/>
        </w:rPr>
      </w:pPr>
      <w:r>
        <w:rPr>
          <w:rFonts w:ascii="Times New Roman" w:eastAsia="Calibri" w:hAnsi="Times New Roman" w:cs="Times New Roman"/>
          <w:kern w:val="2"/>
          <w:sz w:val="28"/>
          <w:szCs w:val="28"/>
          <w:lang w:val="ru-RU"/>
          <w14:ligatures w14:val="standardContextual"/>
        </w:rPr>
        <w:t>- введение ограничения суммы налоговых льгот суммой фактически осуществленных расходов на капитальные вложения и (или) НИОКР;</w:t>
      </w:r>
    </w:p>
    <w:p w14:paraId="522F87AB" w14:textId="77777777" w:rsidR="00C955CA" w:rsidRDefault="00000000">
      <w:pPr>
        <w:spacing w:line="360" w:lineRule="auto"/>
        <w:ind w:firstLine="709"/>
        <w:jc w:val="both"/>
        <w:rPr>
          <w:rFonts w:ascii="Times New Roman" w:eastAsia="Calibri" w:hAnsi="Times New Roman" w:cs="Times New Roman"/>
          <w:kern w:val="2"/>
          <w:sz w:val="28"/>
          <w:szCs w:val="28"/>
          <w:lang w:val="ru-RU"/>
          <w14:ligatures w14:val="standardContextual"/>
        </w:rPr>
      </w:pPr>
      <w:r>
        <w:rPr>
          <w:rFonts w:ascii="Times New Roman" w:eastAsia="Calibri" w:hAnsi="Times New Roman" w:cs="Times New Roman"/>
          <w:kern w:val="2"/>
          <w:sz w:val="28"/>
          <w:szCs w:val="28"/>
          <w:lang w:val="ru-RU"/>
          <w14:ligatures w14:val="standardContextual"/>
        </w:rPr>
        <w:t>- установление обязательного требования о формировании и сдаче годовой бухгалтерской (финансовой) отчетности в ФНС России в электронной форме для сохранения возможности применения налоговых льгот;</w:t>
      </w:r>
    </w:p>
    <w:p w14:paraId="04747D06" w14:textId="77777777" w:rsidR="00C955CA" w:rsidRDefault="00000000">
      <w:pPr>
        <w:spacing w:line="360" w:lineRule="auto"/>
        <w:ind w:firstLine="709"/>
        <w:jc w:val="both"/>
        <w:rPr>
          <w:rFonts w:ascii="Times New Roman" w:eastAsia="Calibri" w:hAnsi="Times New Roman" w:cs="Times New Roman"/>
          <w:kern w:val="2"/>
          <w:sz w:val="28"/>
          <w:szCs w:val="28"/>
          <w:lang w:val="ru-RU"/>
          <w14:ligatures w14:val="standardContextual"/>
        </w:rPr>
      </w:pPr>
      <w:r>
        <w:rPr>
          <w:rFonts w:ascii="Times New Roman" w:eastAsia="Calibri" w:hAnsi="Times New Roman" w:cs="Times New Roman"/>
          <w:kern w:val="2"/>
          <w:sz w:val="28"/>
          <w:szCs w:val="28"/>
          <w:lang w:val="ru-RU"/>
          <w14:ligatures w14:val="standardContextual"/>
        </w:rPr>
        <w:t>- установление возможности применения резидентами (участниками) преференциальных налоговых режимов налоговых льгот только при выполнении ими "контролируемых показателей", установленных соглашением об осуществлении деятельности либо договором об условиях деятельности.</w:t>
      </w:r>
    </w:p>
    <w:p w14:paraId="03ECF0C0" w14:textId="77777777" w:rsidR="00C955CA" w:rsidRDefault="00000000">
      <w:pPr>
        <w:spacing w:line="360" w:lineRule="auto"/>
        <w:ind w:firstLine="709"/>
        <w:jc w:val="both"/>
        <w:rPr>
          <w:rFonts w:ascii="Times New Roman" w:eastAsia="Calibri" w:hAnsi="Times New Roman" w:cs="Times New Roman"/>
          <w:kern w:val="2"/>
          <w:sz w:val="28"/>
          <w:szCs w:val="28"/>
          <w:lang w:val="ru-RU"/>
          <w14:ligatures w14:val="standardContextual"/>
        </w:rPr>
      </w:pPr>
      <w:r>
        <w:rPr>
          <w:rFonts w:ascii="Times New Roman" w:eastAsia="Calibri" w:hAnsi="Times New Roman" w:cs="Times New Roman"/>
          <w:kern w:val="2"/>
          <w:sz w:val="28"/>
          <w:szCs w:val="28"/>
          <w:lang w:val="ru-RU"/>
          <w14:ligatures w14:val="standardContextual"/>
        </w:rPr>
        <w:t>Анализ инвестиционных налоговых льгот, используемых в России, позволил выявить следующие ключевые особенности.</w:t>
      </w:r>
    </w:p>
    <w:p w14:paraId="33DCB79D" w14:textId="77777777" w:rsidR="00C955CA" w:rsidRDefault="00000000">
      <w:pPr>
        <w:spacing w:line="360" w:lineRule="auto"/>
        <w:ind w:firstLine="709"/>
        <w:jc w:val="both"/>
        <w:rPr>
          <w:rFonts w:ascii="Times New Roman" w:eastAsia="Calibri" w:hAnsi="Times New Roman" w:cs="Times New Roman"/>
          <w:kern w:val="2"/>
          <w:sz w:val="28"/>
          <w:szCs w:val="28"/>
          <w:lang w:val="ru-RU"/>
          <w14:ligatures w14:val="standardContextual"/>
        </w:rPr>
      </w:pPr>
      <w:r>
        <w:rPr>
          <w:rFonts w:ascii="Times New Roman" w:eastAsia="Calibri" w:hAnsi="Times New Roman" w:cs="Times New Roman"/>
          <w:kern w:val="2"/>
          <w:sz w:val="28"/>
          <w:szCs w:val="28"/>
          <w:lang w:val="ru-RU"/>
          <w14:ligatures w14:val="standardContextual"/>
        </w:rPr>
        <w:t xml:space="preserve">1. Большая часть ИНЛ предоставляется налогоплательщикам системно, в рамках преференциального налогового режима, применение которого предполагает использование сразу нескольких ИНЛ по различным налогам, например НДПИ, налог на прибыль организаций, налог на имущество </w:t>
      </w:r>
      <w:r>
        <w:rPr>
          <w:rFonts w:ascii="Times New Roman" w:eastAsia="Calibri" w:hAnsi="Times New Roman" w:cs="Times New Roman"/>
          <w:kern w:val="2"/>
          <w:sz w:val="28"/>
          <w:szCs w:val="28"/>
          <w:lang w:val="ru-RU"/>
          <w14:ligatures w14:val="standardContextual"/>
        </w:rPr>
        <w:lastRenderedPageBreak/>
        <w:t>организаций. В этой связи анализ и оценка эффективности на уровне налогоплательщика должны проводиться с учетом всех используемых им ИНЛ.</w:t>
      </w:r>
    </w:p>
    <w:p w14:paraId="357CCEEA" w14:textId="77777777" w:rsidR="00C955CA" w:rsidRDefault="00000000">
      <w:pPr>
        <w:spacing w:line="360" w:lineRule="auto"/>
        <w:ind w:firstLine="709"/>
        <w:jc w:val="both"/>
        <w:rPr>
          <w:rFonts w:ascii="Times New Roman" w:eastAsia="Calibri" w:hAnsi="Times New Roman" w:cs="Times New Roman"/>
          <w:kern w:val="2"/>
          <w:sz w:val="28"/>
          <w:szCs w:val="28"/>
          <w:lang w:val="ru-RU"/>
          <w14:ligatures w14:val="standardContextual"/>
        </w:rPr>
      </w:pPr>
      <w:r>
        <w:rPr>
          <w:rFonts w:ascii="Times New Roman" w:eastAsia="Calibri" w:hAnsi="Times New Roman" w:cs="Times New Roman"/>
          <w:kern w:val="2"/>
          <w:sz w:val="28"/>
          <w:szCs w:val="28"/>
          <w:lang w:val="ru-RU"/>
          <w14:ligatures w14:val="standardContextual"/>
        </w:rPr>
        <w:t>2. Применение большинства преференциальных налоговых режимов подразумевает обязанность налогоплательщика реализовать определенный объем инвестиций взамен на возможность использовать ИНЛ, в ряде случаев величина льготы ограничена объемом капитальных вложений. Между налогоплательщиком и уполномоченным государственным органом заключается соглашение, в рамках которого могут устанавливаться следующие параметры: размер капитальных вложений, вид экономической деятельности, количество новых рабочих мест, средняя заработная плата работников.</w:t>
      </w:r>
    </w:p>
    <w:p w14:paraId="101AA86C" w14:textId="282C3701" w:rsidR="00C955CA" w:rsidRDefault="00000000">
      <w:pPr>
        <w:spacing w:line="360" w:lineRule="auto"/>
        <w:ind w:firstLine="709"/>
        <w:jc w:val="both"/>
        <w:rPr>
          <w:rFonts w:ascii="Times New Roman" w:eastAsia="Calibri" w:hAnsi="Times New Roman" w:cs="Times New Roman"/>
          <w:kern w:val="2"/>
          <w:sz w:val="28"/>
          <w:szCs w:val="28"/>
          <w:lang w:val="ru-RU"/>
          <w14:ligatures w14:val="standardContextual"/>
        </w:rPr>
      </w:pPr>
      <w:r>
        <w:rPr>
          <w:rFonts w:ascii="Times New Roman" w:eastAsia="Calibri" w:hAnsi="Times New Roman" w:cs="Times New Roman"/>
          <w:kern w:val="2"/>
          <w:sz w:val="28"/>
          <w:szCs w:val="28"/>
          <w:lang w:val="ru-RU"/>
          <w14:ligatures w14:val="standardContextual"/>
        </w:rPr>
        <w:t>3. Существенная доля характеризуется наличием ограничений по виду экономической деятельности, то есть по своей сути данные льготы являются вертикальными, направленными на поддержку налогоплательщиков, ведущих деятельность в определенных отраслях реального сектора экономики. При этом в целом можно сказать, что часть льгот нацелена на поддержку только отрасли добычи, а другая часть этот вид деятельности исключает.</w:t>
      </w:r>
    </w:p>
    <w:p w14:paraId="69BC00A9" w14:textId="77777777" w:rsidR="00C955CA" w:rsidRDefault="00000000">
      <w:pPr>
        <w:spacing w:line="360" w:lineRule="auto"/>
        <w:ind w:firstLine="709"/>
        <w:jc w:val="both"/>
        <w:rPr>
          <w:rFonts w:ascii="Times New Roman" w:eastAsia="Calibri" w:hAnsi="Times New Roman" w:cs="Times New Roman"/>
          <w:kern w:val="2"/>
          <w:sz w:val="28"/>
          <w:szCs w:val="28"/>
          <w:lang w:val="ru-RU"/>
          <w14:ligatures w14:val="standardContextual"/>
        </w:rPr>
      </w:pPr>
      <w:r>
        <w:rPr>
          <w:rFonts w:ascii="Times New Roman" w:eastAsia="Calibri" w:hAnsi="Times New Roman" w:cs="Times New Roman"/>
          <w:kern w:val="2"/>
          <w:sz w:val="28"/>
          <w:szCs w:val="28"/>
          <w:lang w:val="ru-RU"/>
          <w14:ligatures w14:val="standardContextual"/>
        </w:rPr>
        <w:t>4. ИНЛ чаще всего обладают региональной спецификой, то есть предоставляются на территории конкретного субъекта Российской Федерации.</w:t>
      </w:r>
    </w:p>
    <w:p w14:paraId="6C7253E5" w14:textId="77777777" w:rsidR="00C955CA" w:rsidRDefault="00000000">
      <w:pPr>
        <w:spacing w:line="360" w:lineRule="auto"/>
        <w:ind w:firstLine="709"/>
        <w:jc w:val="both"/>
        <w:rPr>
          <w:rFonts w:ascii="Times New Roman" w:eastAsia="Calibri" w:hAnsi="Times New Roman" w:cs="Times New Roman"/>
          <w:kern w:val="2"/>
          <w:sz w:val="28"/>
          <w:szCs w:val="28"/>
          <w:lang w:val="ru-RU"/>
          <w14:ligatures w14:val="standardContextual"/>
        </w:rPr>
      </w:pPr>
      <w:r>
        <w:rPr>
          <w:rFonts w:ascii="Times New Roman" w:eastAsia="Calibri" w:hAnsi="Times New Roman" w:cs="Times New Roman"/>
          <w:kern w:val="2"/>
          <w:sz w:val="28"/>
          <w:szCs w:val="28"/>
          <w:lang w:val="ru-RU"/>
          <w14:ligatures w14:val="standardContextual"/>
        </w:rPr>
        <w:t>Важно также отметить, что большинство инвестиционных налоговых льгот обладают характеристиками, которые выделяют в трудах ОЭСР, а именно:</w:t>
      </w:r>
    </w:p>
    <w:p w14:paraId="790965BC" w14:textId="77777777" w:rsidR="00C955CA" w:rsidRDefault="00000000">
      <w:pPr>
        <w:spacing w:line="360" w:lineRule="auto"/>
        <w:ind w:firstLine="709"/>
        <w:jc w:val="both"/>
        <w:rPr>
          <w:rFonts w:ascii="Times New Roman" w:eastAsia="Calibri" w:hAnsi="Times New Roman" w:cs="Times New Roman"/>
          <w:kern w:val="2"/>
          <w:sz w:val="28"/>
          <w:szCs w:val="28"/>
          <w:lang w:val="ru-RU"/>
          <w14:ligatures w14:val="standardContextual"/>
        </w:rPr>
      </w:pPr>
      <w:r>
        <w:rPr>
          <w:rFonts w:ascii="Times New Roman" w:eastAsia="Calibri" w:hAnsi="Times New Roman" w:cs="Times New Roman"/>
          <w:kern w:val="2"/>
          <w:sz w:val="28"/>
          <w:szCs w:val="28"/>
          <w:lang w:val="ru-RU"/>
          <w14:ligatures w14:val="standardContextual"/>
        </w:rPr>
        <w:t>1) целевым характером. Большинство рассмотренных выше налоговых льгот являются вертикальными, то есть предоставляются определенным категориям налогоплательщиков;</w:t>
      </w:r>
    </w:p>
    <w:p w14:paraId="7890CCB6" w14:textId="77777777" w:rsidR="00C955CA" w:rsidRDefault="00000000">
      <w:pPr>
        <w:spacing w:line="360" w:lineRule="auto"/>
        <w:ind w:firstLine="709"/>
        <w:jc w:val="both"/>
        <w:rPr>
          <w:rFonts w:ascii="Times New Roman" w:eastAsia="Calibri" w:hAnsi="Times New Roman" w:cs="Times New Roman"/>
          <w:kern w:val="2"/>
          <w:sz w:val="28"/>
          <w:szCs w:val="28"/>
          <w:lang w:val="ru-RU"/>
          <w14:ligatures w14:val="standardContextual"/>
        </w:rPr>
      </w:pPr>
      <w:r>
        <w:rPr>
          <w:rFonts w:ascii="Times New Roman" w:eastAsia="Calibri" w:hAnsi="Times New Roman" w:cs="Times New Roman"/>
          <w:kern w:val="2"/>
          <w:sz w:val="28"/>
          <w:szCs w:val="28"/>
          <w:lang w:val="ru-RU"/>
          <w14:ligatures w14:val="standardContextual"/>
        </w:rPr>
        <w:t>2) сокращением налоговой нагрузки налогоплательщика и возникновением в результате их использования налоговых расходов государства. В России с 2018 года ведется активная работа по анализу и оценке величины налоговых расходов, возникающих в связи с предоставлением ИНЛ;</w:t>
      </w:r>
    </w:p>
    <w:p w14:paraId="660A6637" w14:textId="77777777" w:rsidR="00C955CA" w:rsidRDefault="00000000">
      <w:pPr>
        <w:spacing w:line="360" w:lineRule="auto"/>
        <w:ind w:firstLine="709"/>
        <w:jc w:val="both"/>
        <w:rPr>
          <w:rFonts w:ascii="Times New Roman" w:eastAsia="Calibri" w:hAnsi="Times New Roman" w:cs="Times New Roman"/>
          <w:kern w:val="2"/>
          <w:sz w:val="28"/>
          <w:szCs w:val="28"/>
          <w:lang w:val="ru-RU"/>
          <w14:ligatures w14:val="standardContextual"/>
        </w:rPr>
      </w:pPr>
      <w:r>
        <w:rPr>
          <w:rFonts w:ascii="Times New Roman" w:eastAsia="Calibri" w:hAnsi="Times New Roman" w:cs="Times New Roman"/>
          <w:kern w:val="2"/>
          <w:sz w:val="28"/>
          <w:szCs w:val="28"/>
          <w:lang w:val="ru-RU"/>
          <w14:ligatures w14:val="standardContextual"/>
        </w:rPr>
        <w:lastRenderedPageBreak/>
        <w:t>3) стимулированием инвестиционной активности. Большинство рассмотренных инвестиционных налоговых льгот предоставляются в обмен на определенные обязательства по осуществлению инвестиций.</w:t>
      </w:r>
    </w:p>
    <w:p w14:paraId="38002ED0" w14:textId="77777777" w:rsidR="00C955CA" w:rsidRDefault="00000000">
      <w:pPr>
        <w:spacing w:line="360" w:lineRule="auto"/>
        <w:ind w:firstLine="709"/>
        <w:jc w:val="both"/>
        <w:rPr>
          <w:rFonts w:ascii="Times New Roman" w:eastAsia="Calibri" w:hAnsi="Times New Roman" w:cs="Times New Roman"/>
          <w:kern w:val="2"/>
          <w:sz w:val="28"/>
          <w:szCs w:val="28"/>
          <w:lang w:val="ru-RU"/>
          <w14:ligatures w14:val="standardContextual"/>
        </w:rPr>
      </w:pPr>
      <w:r>
        <w:rPr>
          <w:rFonts w:ascii="Times New Roman" w:eastAsia="Calibri" w:hAnsi="Times New Roman" w:cs="Times New Roman"/>
          <w:kern w:val="2"/>
          <w:sz w:val="28"/>
          <w:szCs w:val="28"/>
          <w:lang w:val="ru-RU"/>
          <w14:ligatures w14:val="standardContextual"/>
        </w:rPr>
        <w:t>Однако в Перечне ИНЛ присутствует и горизонтальная инвестиционная налоговая льгота - инвестиционный налоговый вычет, которым имеют право воспользоваться все налогоплательщики при условии соблюдения требований налогового и регионального законодательства. При этом налоговые льготы могут быть направлены не только на стимулирование инвестиционной активности, но и на достижение других целей экономической политики -например, на стимулирование добычи полезных ископаемых.</w:t>
      </w:r>
    </w:p>
    <w:p w14:paraId="7A10AB70" w14:textId="77777777" w:rsidR="00C955CA" w:rsidRDefault="00000000">
      <w:pPr>
        <w:spacing w:line="360" w:lineRule="auto"/>
        <w:ind w:firstLine="709"/>
        <w:jc w:val="both"/>
        <w:rPr>
          <w:rFonts w:ascii="Times New Roman" w:eastAsia="Calibri" w:hAnsi="Times New Roman" w:cs="Times New Roman"/>
          <w:kern w:val="2"/>
          <w:sz w:val="28"/>
          <w:szCs w:val="28"/>
          <w:lang w:val="ru-RU"/>
          <w14:ligatures w14:val="standardContextual"/>
        </w:rPr>
      </w:pPr>
      <w:r>
        <w:rPr>
          <w:rFonts w:ascii="Times New Roman" w:eastAsia="Calibri" w:hAnsi="Times New Roman" w:cs="Times New Roman"/>
          <w:kern w:val="2"/>
          <w:sz w:val="28"/>
          <w:szCs w:val="28"/>
          <w:lang w:val="ru-RU"/>
          <w14:ligatures w14:val="standardContextual"/>
        </w:rPr>
        <w:t>Как следствие, федеральными органами исполнительной власти, ответственными за формирование нормативно-правовых актов по преференциальным налоговым режимам, необходимо проводить системную работу по устранению указанных замечаний.</w:t>
      </w:r>
    </w:p>
    <w:p w14:paraId="6C8DEBA2" w14:textId="77777777" w:rsidR="00C955CA" w:rsidRDefault="00000000">
      <w:pPr>
        <w:spacing w:line="360" w:lineRule="auto"/>
        <w:ind w:firstLine="709"/>
        <w:jc w:val="both"/>
        <w:rPr>
          <w:rFonts w:ascii="Times New Roman" w:eastAsia="Calibri" w:hAnsi="Times New Roman" w:cs="Times New Roman"/>
          <w:kern w:val="2"/>
          <w:sz w:val="28"/>
          <w:szCs w:val="28"/>
          <w:lang w:val="ru-RU"/>
          <w14:ligatures w14:val="standardContextual"/>
        </w:rPr>
      </w:pPr>
      <w:r>
        <w:rPr>
          <w:rFonts w:ascii="Times New Roman" w:eastAsia="Calibri" w:hAnsi="Times New Roman" w:cs="Times New Roman"/>
          <w:kern w:val="2"/>
          <w:sz w:val="28"/>
          <w:szCs w:val="28"/>
          <w:lang w:val="ru-RU"/>
          <w14:ligatures w14:val="standardContextual"/>
        </w:rPr>
        <w:t>Говоря о ситуации в России, представляется возможным судить об эффективности налоговых льгот, отталкиваясь от эффективности функционирования самих ОЭЗ. Данная оценка проводится на ежегодной основе Счетной палатой РФ. При этом в феврале 2022 г. было отмечено, что ОЭЗ России работают неэффективно. Так, в материалах Счетной палаты РФ было сказано, что «преференциальные режимы не оказывают заметного влияния на социально-экономическое развитие как страны в целом, так и тех регионов, в которых они установлены».</w:t>
      </w:r>
      <w:r>
        <w:rPr>
          <w:rStyle w:val="a6"/>
          <w:rFonts w:ascii="Times New Roman" w:eastAsia="Calibri" w:hAnsi="Times New Roman" w:cs="Times New Roman"/>
          <w:kern w:val="2"/>
          <w:sz w:val="28"/>
          <w:szCs w:val="28"/>
          <w:lang w:val="ru-RU"/>
          <w14:ligatures w14:val="standardContextual"/>
        </w:rPr>
        <w:footnoteReference w:id="3"/>
      </w:r>
      <w:r>
        <w:rPr>
          <w:rFonts w:ascii="Times New Roman" w:eastAsia="Calibri" w:hAnsi="Times New Roman" w:cs="Times New Roman"/>
          <w:kern w:val="2"/>
          <w:sz w:val="28"/>
          <w:szCs w:val="28"/>
          <w:lang w:val="ru-RU"/>
          <w14:ligatures w14:val="standardContextual"/>
        </w:rPr>
        <w:t xml:space="preserve"> </w:t>
      </w:r>
    </w:p>
    <w:p w14:paraId="1B95A11C" w14:textId="77777777" w:rsidR="00C955CA" w:rsidRDefault="00000000">
      <w:pPr>
        <w:spacing w:line="360" w:lineRule="auto"/>
        <w:ind w:firstLine="709"/>
        <w:jc w:val="both"/>
        <w:rPr>
          <w:rFonts w:ascii="Times New Roman" w:eastAsia="Calibri" w:hAnsi="Times New Roman" w:cs="Times New Roman"/>
          <w:kern w:val="2"/>
          <w:sz w:val="28"/>
          <w:szCs w:val="28"/>
          <w:lang w:val="ru-RU"/>
          <w14:ligatures w14:val="standardContextual"/>
        </w:rPr>
      </w:pPr>
      <w:r>
        <w:rPr>
          <w:rFonts w:ascii="Times New Roman" w:eastAsia="Calibri" w:hAnsi="Times New Roman" w:cs="Times New Roman"/>
          <w:kern w:val="2"/>
          <w:sz w:val="28"/>
          <w:szCs w:val="28"/>
          <w:lang w:val="ru-RU"/>
          <w14:ligatures w14:val="standardContextual"/>
        </w:rPr>
        <w:t xml:space="preserve">Однако представленная в бюллетене информация не может считаться надежной в полной мере ввиду ограниченности статистических данных для проведения анализа. А именно, отсутствует необходимый инструментарий, в том числе статистический, для оценки влияния ОЭЗ на социально-экономическое развитие отдельных макрорегионов и регионов. Поэтому проведение таких оценок зачастую сводится к анализу достижимости </w:t>
      </w:r>
      <w:r>
        <w:rPr>
          <w:rFonts w:ascii="Times New Roman" w:eastAsia="Calibri" w:hAnsi="Times New Roman" w:cs="Times New Roman"/>
          <w:kern w:val="2"/>
          <w:sz w:val="28"/>
          <w:szCs w:val="28"/>
          <w:lang w:val="ru-RU"/>
          <w14:ligatures w14:val="standardContextual"/>
        </w:rPr>
        <w:lastRenderedPageBreak/>
        <w:t>плановых показателей и динамическому анализу некоторых индикаторов ОЭЗ. За кадром остаются оценки социальной значимости создания локальных точек социально-экономического развития.</w:t>
      </w:r>
    </w:p>
    <w:p w14:paraId="5652815E" w14:textId="77777777" w:rsidR="00C955CA" w:rsidRDefault="00000000">
      <w:pPr>
        <w:spacing w:line="360" w:lineRule="auto"/>
        <w:ind w:firstLine="709"/>
        <w:jc w:val="both"/>
        <w:rPr>
          <w:rFonts w:ascii="Times New Roman" w:eastAsia="Calibri" w:hAnsi="Times New Roman" w:cs="Times New Roman"/>
          <w:kern w:val="2"/>
          <w:sz w:val="28"/>
          <w:szCs w:val="28"/>
          <w:lang w:val="ru-RU"/>
          <w14:ligatures w14:val="standardContextual"/>
        </w:rPr>
      </w:pPr>
      <w:r>
        <w:rPr>
          <w:rFonts w:ascii="Times New Roman" w:eastAsia="Calibri" w:hAnsi="Times New Roman" w:cs="Times New Roman"/>
          <w:kern w:val="2"/>
          <w:sz w:val="28"/>
          <w:szCs w:val="28"/>
          <w:lang w:val="ru-RU"/>
          <w14:ligatures w14:val="standardContextual"/>
        </w:rPr>
        <w:t xml:space="preserve">В период кризиса вопрос инвестиций в реальный сектор экономики встает особенно остро: для развития производства нужны существенные финансовые ресурсы, а инвесторы, как правило, занимают выжидательную позицию. Государство при этом сталкивается с дилеммой – ​направить ограниченные финансовые ресурсы на развитие экономики отдельных территорий, либо оказать финансовую поддержку населению или компаниям сферы услуг. </w:t>
      </w:r>
    </w:p>
    <w:p w14:paraId="3639D6F4" w14:textId="77777777" w:rsidR="00C955CA" w:rsidRDefault="00000000">
      <w:pPr>
        <w:spacing w:line="360" w:lineRule="auto"/>
        <w:ind w:firstLine="709"/>
        <w:jc w:val="both"/>
        <w:rPr>
          <w:rFonts w:ascii="Times New Roman" w:eastAsia="Calibri" w:hAnsi="Times New Roman" w:cs="Times New Roman"/>
          <w:kern w:val="2"/>
          <w:sz w:val="28"/>
          <w:szCs w:val="28"/>
          <w:lang w:val="ru-RU"/>
          <w14:ligatures w14:val="standardContextual"/>
        </w:rPr>
      </w:pPr>
      <w:r>
        <w:rPr>
          <w:rFonts w:ascii="Times New Roman" w:eastAsia="Calibri" w:hAnsi="Times New Roman" w:cs="Times New Roman"/>
          <w:kern w:val="2"/>
          <w:sz w:val="28"/>
          <w:szCs w:val="28"/>
          <w:lang w:val="ru-RU"/>
          <w14:ligatures w14:val="standardContextual"/>
        </w:rPr>
        <w:t>В таких условиях вопросы оценки эффективности существующих финансовых стимулов, в том числе налоговых, как никогда актуальны и требуют четких ответов, подлежат ли данные стимулы корректировке (снижению или увеличению) и на какую величину.</w:t>
      </w:r>
    </w:p>
    <w:p w14:paraId="63F82661" w14:textId="77777777" w:rsidR="00C955CA" w:rsidRDefault="00000000">
      <w:pPr>
        <w:spacing w:line="360" w:lineRule="auto"/>
        <w:ind w:firstLine="709"/>
        <w:jc w:val="both"/>
        <w:rPr>
          <w:rFonts w:ascii="Times New Roman" w:eastAsia="Calibri" w:hAnsi="Times New Roman" w:cs="Times New Roman"/>
          <w:kern w:val="2"/>
          <w:sz w:val="28"/>
          <w:szCs w:val="28"/>
          <w:lang w:val="ru-RU"/>
          <w14:ligatures w14:val="standardContextual"/>
        </w:rPr>
      </w:pPr>
      <w:r>
        <w:rPr>
          <w:rFonts w:ascii="Times New Roman" w:eastAsia="Calibri" w:hAnsi="Times New Roman" w:cs="Times New Roman"/>
          <w:kern w:val="2"/>
          <w:sz w:val="28"/>
          <w:szCs w:val="28"/>
          <w:lang w:val="ru-RU"/>
          <w14:ligatures w14:val="standardContextual"/>
        </w:rPr>
        <w:t>На современном этапе такой инструмент финансового стимулирования, как налоговые льготы, можно считать достаточно эффективным для российских ОЭЗ, что подтверждается положительным характером воздействия налоговых льгот на размер инвестиций в пределах зон. Инвесторы в значительной степени полагаются на данный инструмент.</w:t>
      </w:r>
    </w:p>
    <w:p w14:paraId="6A676355" w14:textId="77777777" w:rsidR="00F76ACE" w:rsidRDefault="00F76ACE">
      <w:pPr>
        <w:spacing w:line="360" w:lineRule="auto"/>
        <w:ind w:firstLine="709"/>
        <w:jc w:val="both"/>
        <w:rPr>
          <w:rFonts w:ascii="Times New Roman" w:eastAsia="Calibri" w:hAnsi="Times New Roman" w:cs="Times New Roman"/>
          <w:kern w:val="2"/>
          <w:sz w:val="28"/>
          <w:szCs w:val="28"/>
          <w:lang w:val="ru-RU"/>
          <w14:ligatures w14:val="standardContextual"/>
        </w:rPr>
      </w:pPr>
    </w:p>
    <w:p w14:paraId="7E4BC2DF" w14:textId="4573EC2A" w:rsidR="00F76ACE" w:rsidRPr="00F76ACE" w:rsidRDefault="00F76ACE">
      <w:pPr>
        <w:spacing w:line="360" w:lineRule="auto"/>
        <w:ind w:firstLine="709"/>
        <w:jc w:val="both"/>
        <w:rPr>
          <w:rFonts w:ascii="Times New Roman" w:eastAsia="Calibri" w:hAnsi="Times New Roman" w:cs="Times New Roman"/>
          <w:b/>
          <w:bCs/>
          <w:kern w:val="2"/>
          <w:sz w:val="28"/>
          <w:szCs w:val="28"/>
          <w:lang w:val="ru-RU"/>
          <w14:ligatures w14:val="standardContextual"/>
        </w:rPr>
      </w:pPr>
      <w:r w:rsidRPr="00F76ACE">
        <w:rPr>
          <w:rFonts w:ascii="Times New Roman" w:eastAsia="Calibri" w:hAnsi="Times New Roman" w:cs="Times New Roman"/>
          <w:b/>
          <w:bCs/>
          <w:kern w:val="2"/>
          <w:sz w:val="28"/>
          <w:szCs w:val="28"/>
          <w:lang w:val="ru-RU"/>
          <w14:ligatures w14:val="standardContextual"/>
        </w:rPr>
        <w:t>Список литературы</w:t>
      </w:r>
    </w:p>
    <w:p w14:paraId="01CBE75B" w14:textId="29BA067A" w:rsidR="00F76ACE" w:rsidRPr="0073121E" w:rsidRDefault="00F76ACE" w:rsidP="0073121E">
      <w:pPr>
        <w:pStyle w:val="af0"/>
        <w:numPr>
          <w:ilvl w:val="0"/>
          <w:numId w:val="4"/>
        </w:numPr>
        <w:spacing w:line="360" w:lineRule="auto"/>
        <w:jc w:val="both"/>
        <w:rPr>
          <w:rFonts w:ascii="Times New Roman" w:eastAsia="Calibri" w:hAnsi="Times New Roman" w:cs="Times New Roman"/>
          <w:kern w:val="2"/>
          <w:sz w:val="28"/>
          <w:szCs w:val="28"/>
          <w:lang w:val="ru-RU"/>
          <w14:ligatures w14:val="standardContextual"/>
        </w:rPr>
      </w:pPr>
      <w:r w:rsidRPr="0073121E">
        <w:rPr>
          <w:rFonts w:ascii="Times New Roman" w:eastAsia="Calibri" w:hAnsi="Times New Roman" w:cs="Times New Roman"/>
          <w:kern w:val="2"/>
          <w:sz w:val="28"/>
          <w:szCs w:val="28"/>
          <w:lang w:val="ru-RU"/>
          <w14:ligatures w14:val="standardContextual"/>
        </w:rPr>
        <w:t>Основные направления бюджетной, налоговой и таможенно-тарифной политики на 2023 год и на плановый период 2024 и 2025 годов [Электронный ресурс] // М-во финансов Рос. Федерации. 2022. С. 18-19. URL: https://minfin.gov.ru/common/upload/library/2022/10/main/0sn_2023-2025.pdf</w:t>
      </w:r>
    </w:p>
    <w:p w14:paraId="06774AAE" w14:textId="609747C4" w:rsidR="00F76ACE" w:rsidRPr="0073121E" w:rsidRDefault="00F76ACE" w:rsidP="0073121E">
      <w:pPr>
        <w:pStyle w:val="af0"/>
        <w:numPr>
          <w:ilvl w:val="0"/>
          <w:numId w:val="4"/>
        </w:numPr>
        <w:spacing w:line="360" w:lineRule="auto"/>
        <w:jc w:val="both"/>
        <w:rPr>
          <w:rFonts w:ascii="Times New Roman" w:eastAsia="Calibri" w:hAnsi="Times New Roman" w:cs="Times New Roman"/>
          <w:kern w:val="2"/>
          <w:sz w:val="28"/>
          <w:szCs w:val="28"/>
          <w:lang w:val="ru-RU"/>
          <w14:ligatures w14:val="standardContextual"/>
        </w:rPr>
      </w:pPr>
      <w:r w:rsidRPr="0073121E">
        <w:rPr>
          <w:rFonts w:ascii="Times New Roman" w:eastAsia="Calibri" w:hAnsi="Times New Roman" w:cs="Times New Roman"/>
          <w:kern w:val="2"/>
          <w:sz w:val="28"/>
          <w:szCs w:val="28"/>
          <w:lang w:val="ru-RU"/>
          <w14:ligatures w14:val="standardContextual"/>
        </w:rPr>
        <w:t>Предложения субъектов Российской Федерации http://council.gov.ru/media/files/db8wJx0L0D6C5afrVdxT5ZECnWrSjGq7.pdf</w:t>
      </w:r>
    </w:p>
    <w:p w14:paraId="2978A6AB" w14:textId="26A9150E" w:rsidR="00F76ACE" w:rsidRPr="0073121E" w:rsidRDefault="00F76ACE" w:rsidP="0073121E">
      <w:pPr>
        <w:pStyle w:val="af0"/>
        <w:numPr>
          <w:ilvl w:val="0"/>
          <w:numId w:val="4"/>
        </w:numPr>
        <w:spacing w:line="360" w:lineRule="auto"/>
        <w:jc w:val="both"/>
        <w:rPr>
          <w:rFonts w:ascii="Times New Roman" w:eastAsia="Calibri" w:hAnsi="Times New Roman" w:cs="Times New Roman"/>
          <w:kern w:val="2"/>
          <w:sz w:val="28"/>
          <w:szCs w:val="28"/>
          <w:lang w:val="ru-RU"/>
          <w14:ligatures w14:val="standardContextual"/>
        </w:rPr>
      </w:pPr>
      <w:r w:rsidRPr="0073121E">
        <w:rPr>
          <w:rFonts w:ascii="Times New Roman" w:eastAsia="Calibri" w:hAnsi="Times New Roman" w:cs="Times New Roman"/>
          <w:kern w:val="2"/>
          <w:sz w:val="28"/>
          <w:szCs w:val="28"/>
          <w:lang w:val="ru-RU"/>
          <w14:ligatures w14:val="standardContextual"/>
        </w:rPr>
        <w:lastRenderedPageBreak/>
        <w:t>Бюллетень Счётной̆ палаты Российской Федерации. 2022, № 2. Преференциальные режимы. URL: https://ach.gov.ru/upload/iblock/7d8/hlzxwaeqw81llk92aca5pqsg36es4cmu.pdf.</w:t>
      </w:r>
    </w:p>
    <w:p w14:paraId="7A0E0A63" w14:textId="77777777" w:rsidR="00F76ACE" w:rsidRDefault="00F76ACE">
      <w:pPr>
        <w:spacing w:line="360" w:lineRule="auto"/>
        <w:ind w:firstLine="709"/>
        <w:jc w:val="both"/>
        <w:rPr>
          <w:rFonts w:ascii="Times New Roman" w:eastAsia="Calibri" w:hAnsi="Times New Roman" w:cs="Times New Roman"/>
          <w:kern w:val="2"/>
          <w:sz w:val="28"/>
          <w:szCs w:val="28"/>
          <w:lang w:val="ru-RU"/>
          <w14:ligatures w14:val="standardContextual"/>
        </w:rPr>
      </w:pPr>
    </w:p>
    <w:p w14:paraId="41E54BFA" w14:textId="77777777" w:rsidR="00C955CA" w:rsidRDefault="00C955CA"/>
    <w:sectPr w:rsidR="00C955CA">
      <w:pgSz w:w="11906" w:h="16838"/>
      <w:pgMar w:top="1134" w:right="850" w:bottom="1134" w:left="1701"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7E573" w14:textId="77777777" w:rsidR="00F77FB3" w:rsidRDefault="00F77FB3">
      <w:pPr>
        <w:spacing w:line="240" w:lineRule="auto"/>
      </w:pPr>
      <w:r>
        <w:separator/>
      </w:r>
    </w:p>
  </w:endnote>
  <w:endnote w:type="continuationSeparator" w:id="0">
    <w:p w14:paraId="7D8690E0" w14:textId="77777777" w:rsidR="00F77FB3" w:rsidRDefault="00F77F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EB728" w14:textId="77777777" w:rsidR="00F77FB3" w:rsidRDefault="00F77FB3">
      <w:pPr>
        <w:rPr>
          <w:sz w:val="12"/>
        </w:rPr>
      </w:pPr>
      <w:r>
        <w:separator/>
      </w:r>
    </w:p>
  </w:footnote>
  <w:footnote w:type="continuationSeparator" w:id="0">
    <w:p w14:paraId="5C877EC1" w14:textId="77777777" w:rsidR="00F77FB3" w:rsidRDefault="00F77FB3">
      <w:pPr>
        <w:rPr>
          <w:sz w:val="12"/>
        </w:rPr>
      </w:pPr>
      <w:r>
        <w:continuationSeparator/>
      </w:r>
    </w:p>
  </w:footnote>
  <w:footnote w:id="1">
    <w:p w14:paraId="2E878851" w14:textId="77777777" w:rsidR="00C955CA" w:rsidRPr="00F76ACE" w:rsidRDefault="00000000">
      <w:pPr>
        <w:pStyle w:val="10"/>
        <w:rPr>
          <w:rFonts w:ascii="Times New Roman" w:hAnsi="Times New Roman" w:cs="Times New Roman"/>
        </w:rPr>
      </w:pPr>
      <w:r w:rsidRPr="00F76ACE">
        <w:rPr>
          <w:rStyle w:val="a5"/>
          <w:rFonts w:ascii="Times New Roman" w:hAnsi="Times New Roman" w:cs="Times New Roman"/>
        </w:rPr>
        <w:footnoteRef/>
      </w:r>
      <w:r w:rsidRPr="00F76ACE">
        <w:rPr>
          <w:rFonts w:ascii="Times New Roman" w:hAnsi="Times New Roman" w:cs="Times New Roman"/>
        </w:rPr>
        <w:t xml:space="preserve"> Основные направления бюджетной, налоговой и таможенно-тарифной политики на 2023 год и на плановый период 2024 и 2025 годов [Электронный ресурс] // М-во финансов Рос. Федерации. 2022. С. 18-19. URL: https://minfin.gov.ru/common/upload/library/2022/10/main/0sn_2023-2025.pdf</w:t>
      </w:r>
    </w:p>
  </w:footnote>
  <w:footnote w:id="2">
    <w:p w14:paraId="208557DB" w14:textId="77777777" w:rsidR="00C955CA" w:rsidRPr="00F76ACE" w:rsidRDefault="00000000">
      <w:pPr>
        <w:pStyle w:val="10"/>
        <w:rPr>
          <w:rFonts w:ascii="Times New Roman" w:hAnsi="Times New Roman" w:cs="Times New Roman"/>
        </w:rPr>
      </w:pPr>
      <w:r w:rsidRPr="00F76ACE">
        <w:rPr>
          <w:rStyle w:val="a5"/>
          <w:rFonts w:ascii="Times New Roman" w:hAnsi="Times New Roman" w:cs="Times New Roman"/>
        </w:rPr>
        <w:footnoteRef/>
      </w:r>
      <w:r w:rsidRPr="00F76ACE">
        <w:rPr>
          <w:rFonts w:ascii="Times New Roman" w:hAnsi="Times New Roman" w:cs="Times New Roman"/>
        </w:rPr>
        <w:t xml:space="preserve"> Предложения субъектов Российской Федерации http://council.gov.ru/media/files/db8wJx0L0D6C5afrVdxT5ZECnWrSjGq7.pdf</w:t>
      </w:r>
    </w:p>
  </w:footnote>
  <w:footnote w:id="3">
    <w:p w14:paraId="36882A86" w14:textId="77777777" w:rsidR="00C955CA" w:rsidRPr="00F76ACE" w:rsidRDefault="00000000">
      <w:pPr>
        <w:pStyle w:val="10"/>
        <w:rPr>
          <w:rFonts w:ascii="Times New Roman" w:hAnsi="Times New Roman" w:cs="Times New Roman"/>
        </w:rPr>
      </w:pPr>
      <w:r w:rsidRPr="00F76ACE">
        <w:rPr>
          <w:rStyle w:val="a5"/>
          <w:rFonts w:ascii="Times New Roman" w:hAnsi="Times New Roman" w:cs="Times New Roman"/>
        </w:rPr>
        <w:footnoteRef/>
      </w:r>
      <w:r w:rsidRPr="00F76ACE">
        <w:rPr>
          <w:rFonts w:ascii="Times New Roman" w:hAnsi="Times New Roman" w:cs="Times New Roman"/>
        </w:rPr>
        <w:t xml:space="preserve"> Бюллетень Счётной̆ палаты Российской Федерации. 2022, № 2. Преференциальные режимы. URL: https://ach.gov.ru/upload/iblock/7d8/hlzxwaeqw81llk92aca5pqsg36es4cmu.pdf.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B5954"/>
    <w:multiLevelType w:val="hybridMultilevel"/>
    <w:tmpl w:val="7D521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335614D"/>
    <w:multiLevelType w:val="hybridMultilevel"/>
    <w:tmpl w:val="13609F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15438E"/>
    <w:multiLevelType w:val="multilevel"/>
    <w:tmpl w:val="9F8E938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 w15:restartNumberingAfterBreak="0">
    <w:nsid w:val="51AB5122"/>
    <w:multiLevelType w:val="multilevel"/>
    <w:tmpl w:val="7FBCAE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490800924">
    <w:abstractNumId w:val="2"/>
  </w:num>
  <w:num w:numId="2" w16cid:durableId="1084572158">
    <w:abstractNumId w:val="3"/>
  </w:num>
  <w:num w:numId="3" w16cid:durableId="197668613">
    <w:abstractNumId w:val="0"/>
  </w:num>
  <w:num w:numId="4" w16cid:durableId="1264192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5CA"/>
    <w:rsid w:val="00222D72"/>
    <w:rsid w:val="003C1018"/>
    <w:rsid w:val="00550991"/>
    <w:rsid w:val="0067312F"/>
    <w:rsid w:val="0073121E"/>
    <w:rsid w:val="00A31D33"/>
    <w:rsid w:val="00C955CA"/>
    <w:rsid w:val="00F76ACE"/>
    <w:rsid w:val="00F77FB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DCB4"/>
  <w15:docId w15:val="{93B7326D-989C-4242-BAC3-BC3A66585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uiPriority w:val="99"/>
    <w:semiHidden/>
    <w:qFormat/>
    <w:rsid w:val="00DB6721"/>
    <w:rPr>
      <w:sz w:val="20"/>
      <w:szCs w:val="20"/>
    </w:rPr>
  </w:style>
  <w:style w:type="character" w:customStyle="1" w:styleId="a5">
    <w:name w:val="Символ сноски"/>
    <w:qFormat/>
    <w:rsid w:val="00DB6721"/>
  </w:style>
  <w:style w:type="character" w:customStyle="1" w:styleId="a6">
    <w:name w:val="Привязка сноски"/>
    <w:rPr>
      <w:vertAlign w:val="superscript"/>
    </w:rPr>
  </w:style>
  <w:style w:type="character" w:customStyle="1" w:styleId="FootnoteCharacters">
    <w:name w:val="Footnote Characters"/>
    <w:basedOn w:val="a0"/>
    <w:uiPriority w:val="99"/>
    <w:semiHidden/>
    <w:unhideWhenUsed/>
    <w:qFormat/>
    <w:rsid w:val="00DB6721"/>
    <w:rPr>
      <w:vertAlign w:val="superscript"/>
    </w:rPr>
  </w:style>
  <w:style w:type="character" w:customStyle="1" w:styleId="1">
    <w:name w:val="Текст сноски Знак1"/>
    <w:basedOn w:val="a0"/>
    <w:uiPriority w:val="99"/>
    <w:semiHidden/>
    <w:qFormat/>
    <w:rsid w:val="00DB6721"/>
    <w:rPr>
      <w:sz w:val="20"/>
      <w:szCs w:val="20"/>
    </w:rPr>
  </w:style>
  <w:style w:type="character" w:customStyle="1" w:styleId="-">
    <w:name w:val="Интернет-ссылка"/>
    <w:rPr>
      <w:color w:val="000080"/>
      <w:u w:val="single"/>
    </w:rPr>
  </w:style>
  <w:style w:type="character" w:customStyle="1" w:styleId="a7">
    <w:name w:val="Нумерация строк"/>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Arial" w:eastAsia="Microsoft YaHei" w:hAnsi="Arial" w:cs="Lucida Sans"/>
      <w:sz w:val="28"/>
      <w:szCs w:val="28"/>
    </w:rPr>
  </w:style>
  <w:style w:type="paragraph" w:styleId="ab">
    <w:name w:val="Body Text"/>
    <w:basedOn w:val="a"/>
    <w:pPr>
      <w:spacing w:after="140" w:line="276" w:lineRule="auto"/>
    </w:pPr>
  </w:style>
  <w:style w:type="paragraph" w:styleId="ac">
    <w:name w:val="List"/>
    <w:basedOn w:val="ab"/>
    <w:rPr>
      <w:rFonts w:cs="Lucida Sans"/>
    </w:rPr>
  </w:style>
  <w:style w:type="paragraph" w:styleId="ad">
    <w:name w:val="caption"/>
    <w:basedOn w:val="a"/>
    <w:qFormat/>
    <w:pPr>
      <w:suppressLineNumbers/>
      <w:spacing w:before="120" w:after="120"/>
    </w:pPr>
    <w:rPr>
      <w:rFonts w:cs="Lucida Sans"/>
      <w:i/>
      <w:iCs/>
      <w:sz w:val="24"/>
      <w:szCs w:val="24"/>
    </w:rPr>
  </w:style>
  <w:style w:type="paragraph" w:styleId="ae">
    <w:name w:val="index heading"/>
    <w:basedOn w:val="a"/>
    <w:qFormat/>
    <w:pPr>
      <w:suppressLineNumbers/>
    </w:pPr>
    <w:rPr>
      <w:rFonts w:cs="Lucida Sans"/>
    </w:rPr>
  </w:style>
  <w:style w:type="paragraph" w:customStyle="1" w:styleId="10">
    <w:name w:val="Текст сноски1"/>
    <w:basedOn w:val="a"/>
    <w:next w:val="a4"/>
    <w:uiPriority w:val="99"/>
    <w:semiHidden/>
    <w:unhideWhenUsed/>
    <w:qFormat/>
    <w:rsid w:val="00DB6721"/>
    <w:pPr>
      <w:spacing w:line="240" w:lineRule="auto"/>
    </w:pPr>
    <w:rPr>
      <w:kern w:val="2"/>
      <w:sz w:val="20"/>
      <w:szCs w:val="20"/>
      <w:lang w:val="ru-RU"/>
      <w14:ligatures w14:val="standardContextual"/>
    </w:rPr>
  </w:style>
  <w:style w:type="paragraph" w:styleId="a4">
    <w:name w:val="footnote text"/>
    <w:basedOn w:val="a"/>
    <w:link w:val="a3"/>
    <w:uiPriority w:val="99"/>
    <w:semiHidden/>
    <w:unhideWhenUsed/>
    <w:rsid w:val="00DB6721"/>
    <w:pPr>
      <w:spacing w:line="240" w:lineRule="auto"/>
    </w:pPr>
    <w:rPr>
      <w:sz w:val="20"/>
      <w:szCs w:val="20"/>
    </w:rPr>
  </w:style>
  <w:style w:type="paragraph" w:styleId="af">
    <w:name w:val="Revision"/>
    <w:hidden/>
    <w:uiPriority w:val="99"/>
    <w:semiHidden/>
    <w:rsid w:val="00F76ACE"/>
    <w:pPr>
      <w:suppressAutoHyphens w:val="0"/>
    </w:pPr>
  </w:style>
  <w:style w:type="paragraph" w:styleId="af0">
    <w:name w:val="List Paragraph"/>
    <w:basedOn w:val="a"/>
    <w:uiPriority w:val="34"/>
    <w:qFormat/>
    <w:rsid w:val="00F76A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72841/" TargetMode="External"/><Relationship Id="rId3" Type="http://schemas.openxmlformats.org/officeDocument/2006/relationships/settings" Target="settings.xml"/><Relationship Id="rId7" Type="http://schemas.openxmlformats.org/officeDocument/2006/relationships/hyperlink" Target="mailto:liza.malumya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2052</Words>
  <Characters>11701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Лиза Малумян</dc:creator>
  <dc:description/>
  <cp:lastModifiedBy>Лиза Малумян</cp:lastModifiedBy>
  <cp:revision>4</cp:revision>
  <dcterms:created xsi:type="dcterms:W3CDTF">2024-11-11T21:07:00Z</dcterms:created>
  <dcterms:modified xsi:type="dcterms:W3CDTF">2024-11-11T21:21:00Z</dcterms:modified>
  <dc:language>ru-RU</dc:language>
</cp:coreProperties>
</file>