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6C" w:rsidRPr="007A776C" w:rsidRDefault="007A776C" w:rsidP="007A776C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7A776C">
        <w:rPr>
          <w:rFonts w:ascii="Verdana" w:eastAsia="Times New Roman" w:hAnsi="Verdana" w:cs="Times New Roman"/>
          <w:noProof/>
          <w:sz w:val="17"/>
          <w:szCs w:val="17"/>
          <w:lang w:eastAsia="ru-RU"/>
        </w:rPr>
        <w:drawing>
          <wp:inline distT="0" distB="0" distL="0" distR="0" wp14:anchorId="5A8EAA27" wp14:editId="2E2279DA">
            <wp:extent cx="704850" cy="419100"/>
            <wp:effectExtent l="0" t="0" r="0" b="0"/>
            <wp:docPr id="1" name="Рисунок 1" descr="Издательский дом &quot;Заславски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дательский дом &quot;Заславский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76C" w:rsidRPr="007A776C" w:rsidRDefault="007A776C" w:rsidP="007A776C">
      <w:pPr>
        <w:spacing w:before="375" w:after="330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ru-RU"/>
        </w:rPr>
      </w:pPr>
      <w:r w:rsidRPr="007A776C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ru-RU"/>
        </w:rPr>
        <w:t>Международный неврологический журнал 3(25) 2009</w:t>
      </w:r>
    </w:p>
    <w:p w:rsidR="007A776C" w:rsidRPr="007A776C" w:rsidRDefault="007A776C" w:rsidP="007A776C">
      <w:pPr>
        <w:spacing w:before="375" w:after="330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ru-RU"/>
        </w:rPr>
      </w:pPr>
      <w:r w:rsidRPr="007A776C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ru-RU"/>
        </w:rPr>
        <w:t>Многоцентровая программа по оценке эффективности и безопасности новой схемы терапии больных с хронической цереброваскулярной недостаточностью</w:t>
      </w:r>
    </w:p>
    <w:p w:rsidR="007A776C" w:rsidRPr="007A776C" w:rsidRDefault="007A776C" w:rsidP="007A776C">
      <w:pPr>
        <w:spacing w:after="24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7A776C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Авторы:</w:t>
      </w:r>
      <w:r w:rsidRPr="007A776C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</w:t>
      </w:r>
      <w:proofErr w:type="spellStart"/>
      <w:proofErr w:type="gramStart"/>
      <w:r w:rsidRPr="007A776C">
        <w:rPr>
          <w:rFonts w:ascii="Verdana" w:eastAsia="Times New Roman" w:hAnsi="Verdana" w:cs="Times New Roman"/>
          <w:sz w:val="17"/>
          <w:szCs w:val="17"/>
          <w:lang w:eastAsia="ru-RU"/>
        </w:rPr>
        <w:t>Скоромец</w:t>
      </w:r>
      <w:proofErr w:type="spellEnd"/>
      <w:r w:rsidRPr="007A776C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А.А., акад. РАМН, д.м.н., зав. каф.(1); </w:t>
      </w:r>
      <w:proofErr w:type="spellStart"/>
      <w:r w:rsidRPr="007A776C">
        <w:rPr>
          <w:rFonts w:ascii="Verdana" w:eastAsia="Times New Roman" w:hAnsi="Verdana" w:cs="Times New Roman"/>
          <w:sz w:val="17"/>
          <w:szCs w:val="17"/>
          <w:lang w:eastAsia="ru-RU"/>
        </w:rPr>
        <w:t>Танашян</w:t>
      </w:r>
      <w:proofErr w:type="spellEnd"/>
      <w:r w:rsidRPr="007A776C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М.М., д.м.н., проф.(2); </w:t>
      </w:r>
      <w:proofErr w:type="spellStart"/>
      <w:r w:rsidRPr="007A776C">
        <w:rPr>
          <w:rFonts w:ascii="Verdana" w:eastAsia="Times New Roman" w:hAnsi="Verdana" w:cs="Times New Roman"/>
          <w:sz w:val="17"/>
          <w:szCs w:val="17"/>
          <w:lang w:eastAsia="ru-RU"/>
        </w:rPr>
        <w:t>Чуканова</w:t>
      </w:r>
      <w:proofErr w:type="spellEnd"/>
      <w:r w:rsidRPr="007A776C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Е.И., д.м.н., доц. каф.(3); Петрова Е.А., к.м.н., доц. каф.(3); Спирин Н.Н., д.м.н., проф.(4); Никонов А.А., к.м.н., проф. каф.(3);</w:t>
      </w:r>
      <w:proofErr w:type="gramEnd"/>
      <w:r w:rsidRPr="007A776C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</w:t>
      </w:r>
      <w:proofErr w:type="gramStart"/>
      <w:r w:rsidRPr="007A776C">
        <w:rPr>
          <w:rFonts w:ascii="Verdana" w:eastAsia="Times New Roman" w:hAnsi="Verdana" w:cs="Times New Roman"/>
          <w:sz w:val="17"/>
          <w:szCs w:val="17"/>
          <w:lang w:eastAsia="ru-RU"/>
        </w:rPr>
        <w:t>Повереннова И.Е., д.м.н., проф., зав. каф.(5); Левин Я.И., д.м.н., проф. каф.(6) (1)Санкт-Петербургский государственный медицинский университет им. акад. И.П. Павлова; (2)Научный центр неврологии РАМН, г. Москва; (3)Российский государственный медицинский университет, г. Москва; (4)Ярославская государственная медицинская академия; (5)Самарский государственный медицинский университет;</w:t>
      </w:r>
      <w:proofErr w:type="gramEnd"/>
      <w:r w:rsidRPr="007A776C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(6)Московская медицинская академия им. М.И. Сеченова </w:t>
      </w:r>
      <w:r w:rsidRPr="007A776C">
        <w:rPr>
          <w:rFonts w:ascii="Verdana" w:eastAsia="Times New Roman" w:hAnsi="Verdana" w:cs="Times New Roman"/>
          <w:sz w:val="17"/>
          <w:szCs w:val="17"/>
          <w:lang w:eastAsia="ru-RU"/>
        </w:rPr>
        <w:br/>
      </w:r>
      <w:r w:rsidRPr="007A776C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Рубрики:</w:t>
      </w:r>
      <w:r w:rsidRPr="007A776C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Неврология </w:t>
      </w:r>
    </w:p>
    <w:p w:rsidR="007A776C" w:rsidRPr="007A776C" w:rsidRDefault="007A776C" w:rsidP="007A776C">
      <w:pPr>
        <w:spacing w:after="24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7A776C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Резюме</w:t>
      </w:r>
    </w:p>
    <w:p w:rsidR="007A776C" w:rsidRPr="007A776C" w:rsidRDefault="007A776C" w:rsidP="007A776C">
      <w:pPr>
        <w:spacing w:before="165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7A776C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Проведена оценка комплексной </w:t>
      </w:r>
      <w:proofErr w:type="spellStart"/>
      <w:r w:rsidRPr="007A776C">
        <w:rPr>
          <w:rFonts w:ascii="Verdana" w:eastAsia="Times New Roman" w:hAnsi="Verdana" w:cs="Times New Roman"/>
          <w:sz w:val="17"/>
          <w:szCs w:val="17"/>
          <w:lang w:eastAsia="ru-RU"/>
        </w:rPr>
        <w:t>мультицентровой</w:t>
      </w:r>
      <w:proofErr w:type="spellEnd"/>
      <w:r w:rsidRPr="007A776C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</w:t>
      </w:r>
      <w:proofErr w:type="spellStart"/>
      <w:r w:rsidRPr="007A776C">
        <w:rPr>
          <w:rFonts w:ascii="Verdana" w:eastAsia="Times New Roman" w:hAnsi="Verdana" w:cs="Times New Roman"/>
          <w:sz w:val="17"/>
          <w:szCs w:val="17"/>
          <w:lang w:eastAsia="ru-RU"/>
        </w:rPr>
        <w:t>проспективной</w:t>
      </w:r>
      <w:proofErr w:type="spellEnd"/>
      <w:r w:rsidRPr="007A776C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</w:t>
      </w:r>
      <w:proofErr w:type="spellStart"/>
      <w:r w:rsidRPr="007A776C">
        <w:rPr>
          <w:rFonts w:ascii="Verdana" w:eastAsia="Times New Roman" w:hAnsi="Verdana" w:cs="Times New Roman"/>
          <w:sz w:val="17"/>
          <w:szCs w:val="17"/>
          <w:lang w:eastAsia="ru-RU"/>
        </w:rPr>
        <w:t>несравнительной</w:t>
      </w:r>
      <w:proofErr w:type="spellEnd"/>
      <w:r w:rsidRPr="007A776C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программы по изучению эффективности и безопасности новой схемы терапии </w:t>
      </w:r>
      <w:proofErr w:type="spellStart"/>
      <w:r w:rsidRPr="007A776C">
        <w:rPr>
          <w:rFonts w:ascii="Verdana" w:eastAsia="Times New Roman" w:hAnsi="Verdana" w:cs="Times New Roman"/>
          <w:sz w:val="17"/>
          <w:szCs w:val="17"/>
          <w:lang w:eastAsia="ru-RU"/>
        </w:rPr>
        <w:t>Кавинтоном</w:t>
      </w:r>
      <w:proofErr w:type="spellEnd"/>
      <w:r w:rsidRPr="007A776C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больных с хронической цереброваскулярной недостаточностью. Наблюдались 159 пациентов (46 мужчин и 113 женщин) в возрасте от 35 до 65 лет. Лечение начиналось с внутривенных </w:t>
      </w:r>
      <w:proofErr w:type="spellStart"/>
      <w:r w:rsidRPr="007A776C">
        <w:rPr>
          <w:rFonts w:ascii="Verdana" w:eastAsia="Times New Roman" w:hAnsi="Verdana" w:cs="Times New Roman"/>
          <w:sz w:val="17"/>
          <w:szCs w:val="17"/>
          <w:lang w:eastAsia="ru-RU"/>
        </w:rPr>
        <w:t>инфузий</w:t>
      </w:r>
      <w:proofErr w:type="spellEnd"/>
      <w:r w:rsidRPr="007A776C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препарата в течение 7 дней по схеме: 20, 30, 40, 50, 50, 50 и 50 мг раствора </w:t>
      </w:r>
      <w:proofErr w:type="spellStart"/>
      <w:r w:rsidRPr="007A776C">
        <w:rPr>
          <w:rFonts w:ascii="Verdana" w:eastAsia="Times New Roman" w:hAnsi="Verdana" w:cs="Times New Roman"/>
          <w:sz w:val="17"/>
          <w:szCs w:val="17"/>
          <w:lang w:eastAsia="ru-RU"/>
        </w:rPr>
        <w:t>Кавинтона</w:t>
      </w:r>
      <w:proofErr w:type="spellEnd"/>
      <w:r w:rsidRPr="007A776C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в разведении на 500 мл физиологического раствора с последующим пероральным приемом </w:t>
      </w:r>
      <w:proofErr w:type="spellStart"/>
      <w:r w:rsidRPr="007A776C">
        <w:rPr>
          <w:rFonts w:ascii="Verdana" w:eastAsia="Times New Roman" w:hAnsi="Verdana" w:cs="Times New Roman"/>
          <w:sz w:val="17"/>
          <w:szCs w:val="17"/>
          <w:lang w:eastAsia="ru-RU"/>
        </w:rPr>
        <w:t>Кавинтона</w:t>
      </w:r>
      <w:proofErr w:type="spellEnd"/>
      <w:r w:rsidRPr="007A776C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форте по 10 мг 3 раза в день в течение 11 </w:t>
      </w:r>
      <w:proofErr w:type="spellStart"/>
      <w:r w:rsidRPr="007A776C">
        <w:rPr>
          <w:rFonts w:ascii="Verdana" w:eastAsia="Times New Roman" w:hAnsi="Verdana" w:cs="Times New Roman"/>
          <w:sz w:val="17"/>
          <w:szCs w:val="17"/>
          <w:lang w:eastAsia="ru-RU"/>
        </w:rPr>
        <w:t>нед</w:t>
      </w:r>
      <w:proofErr w:type="spellEnd"/>
      <w:r w:rsidRPr="007A776C">
        <w:rPr>
          <w:rFonts w:ascii="Verdana" w:eastAsia="Times New Roman" w:hAnsi="Verdana" w:cs="Times New Roman"/>
          <w:sz w:val="17"/>
          <w:szCs w:val="17"/>
          <w:lang w:eastAsia="ru-RU"/>
        </w:rPr>
        <w:t xml:space="preserve">. Первичным параметром оценки эффективности была краткая шкала оценки психического статуса (MMSE), </w:t>
      </w:r>
      <w:proofErr w:type="gramStart"/>
      <w:r w:rsidRPr="007A776C">
        <w:rPr>
          <w:rFonts w:ascii="Verdana" w:eastAsia="Times New Roman" w:hAnsi="Verdana" w:cs="Times New Roman"/>
          <w:sz w:val="17"/>
          <w:szCs w:val="17"/>
          <w:lang w:eastAsia="ru-RU"/>
        </w:rPr>
        <w:t>вторичными</w:t>
      </w:r>
      <w:proofErr w:type="gramEnd"/>
      <w:r w:rsidRPr="007A776C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— шкалы качества жизни (SF-36) и общего клинического впечатления (CGIC-PGIC). Отмечена достоверная разница выраженности значений по шкалам MMSE и SF-36 до и после окончания курса лечения, а также по шкале CGIC-PGIC на 8-й и 90-й дни наблюдения. Парентеральное и пероральное применение </w:t>
      </w:r>
      <w:proofErr w:type="spellStart"/>
      <w:r w:rsidRPr="007A776C">
        <w:rPr>
          <w:rFonts w:ascii="Verdana" w:eastAsia="Times New Roman" w:hAnsi="Verdana" w:cs="Times New Roman"/>
          <w:sz w:val="17"/>
          <w:szCs w:val="17"/>
          <w:lang w:eastAsia="ru-RU"/>
        </w:rPr>
        <w:t>Кавинтона</w:t>
      </w:r>
      <w:proofErr w:type="spellEnd"/>
      <w:r w:rsidRPr="007A776C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хорошо переносится и имеет благоприятный профиль безопасности.</w:t>
      </w:r>
    </w:p>
    <w:p w:rsidR="007A776C" w:rsidRPr="007A776C" w:rsidRDefault="007A776C" w:rsidP="007A776C">
      <w:pPr>
        <w:spacing w:after="24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7A776C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Ключевые слова</w:t>
      </w:r>
    </w:p>
    <w:p w:rsidR="007A776C" w:rsidRPr="007A776C" w:rsidRDefault="007A776C" w:rsidP="007A776C">
      <w:pPr>
        <w:spacing w:before="165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7A776C">
        <w:rPr>
          <w:rFonts w:ascii="Verdana" w:eastAsia="Times New Roman" w:hAnsi="Verdana" w:cs="Times New Roman"/>
          <w:sz w:val="17"/>
          <w:szCs w:val="17"/>
          <w:lang w:eastAsia="ru-RU"/>
        </w:rPr>
        <w:t xml:space="preserve">хроническая цереброваскулярная недостаточность, </w:t>
      </w:r>
      <w:proofErr w:type="spellStart"/>
      <w:r w:rsidRPr="007A776C">
        <w:rPr>
          <w:rFonts w:ascii="Verdana" w:eastAsia="Times New Roman" w:hAnsi="Verdana" w:cs="Times New Roman"/>
          <w:sz w:val="17"/>
          <w:szCs w:val="17"/>
          <w:lang w:eastAsia="ru-RU"/>
        </w:rPr>
        <w:t>Кавинтон</w:t>
      </w:r>
      <w:proofErr w:type="spellEnd"/>
      <w:r w:rsidRPr="007A776C">
        <w:rPr>
          <w:rFonts w:ascii="Verdana" w:eastAsia="Times New Roman" w:hAnsi="Verdana" w:cs="Times New Roman"/>
          <w:sz w:val="17"/>
          <w:szCs w:val="17"/>
          <w:lang w:eastAsia="ru-RU"/>
        </w:rPr>
        <w:t>.</w:t>
      </w:r>
    </w:p>
    <w:p w:rsidR="007A776C" w:rsidRPr="007A776C" w:rsidRDefault="007A776C" w:rsidP="007A776C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Проблема инсульта остается одной из самых острых в современном здравоохранении, что связано со значительной частотой развития данной патологии и значимыми последствиями для пациентов и общества (высокий уровень </w:t>
      </w:r>
      <w:proofErr w:type="spell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инвалидизации</w:t>
      </w:r>
      <w:proofErr w:type="spell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смертности). Значимость инсульта как </w:t>
      </w:r>
      <w:proofErr w:type="gram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медико-социальной</w:t>
      </w:r>
      <w:proofErr w:type="gram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проблемы растет с каждым годом, что связано со старением населения, а также с увеличением в популяции числа людей с факторами риска сердечно-сосудистых заболеваний. В 1998 г. в мире от инсульта умерли 5,1 </w:t>
      </w:r>
      <w:proofErr w:type="gram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млн</w:t>
      </w:r>
      <w:proofErr w:type="gram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человек и у 15 млн был зарегистрирован </w:t>
      </w:r>
      <w:proofErr w:type="spell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несмертельный</w:t>
      </w:r>
      <w:proofErr w:type="spell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инсульт. Ожидаемый к 2020 г. уровень смертности от инсульта, по прогнозам ВОЗ, составит 7,6 </w:t>
      </w:r>
      <w:proofErr w:type="gram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млн</w:t>
      </w:r>
      <w:proofErr w:type="gram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человек [1, 2].</w:t>
      </w:r>
    </w:p>
    <w:p w:rsidR="007A776C" w:rsidRPr="007A776C" w:rsidRDefault="007A776C" w:rsidP="007A776C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В странах Западной Европы, Японии, США в последние десятилетия отмечено снижение частоты развития инсульта, при этом он стал протекать менее тяжело. Причины этого не совсем ясны, однако имеются предположения, что они лежат в снижении распространенности артериальной гипертензии (АГ) в общей популяции, отказе от курения и употребления жирной пищи [2, 3].</w:t>
      </w:r>
    </w:p>
    <w:p w:rsidR="007A776C" w:rsidRPr="007A776C" w:rsidRDefault="007A776C" w:rsidP="007A776C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Россия выделяется среди промышленно развитых стран мира высокой распространенностью инсульта и значительными показателями связанной с ним смертности. Российская Федерация занимает 2-е место в мире по смертности от инсульта. Постинсультная летальность в России составляет 1 случай на 1000 населения в год, что в 3–8 раз выше, чем, к примеру, в США, Франции и Швейцарии [4]. Более того, в отличие от стран Западной Европы, Японии, США, Австралии в нашей стране смертность от инсульта не снижается. </w:t>
      </w:r>
      <w:proofErr w:type="gram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Связанная</w:t>
      </w:r>
      <w:proofErr w:type="gram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 инсультом </w:t>
      </w:r>
      <w:proofErr w:type="spell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инвалидизация</w:t>
      </w:r>
      <w:proofErr w:type="spell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России занимает 1-е место среди всех причин первичной инвалидности и составляет 3,2 на 10 000 населения [5, 6].</w:t>
      </w:r>
    </w:p>
    <w:p w:rsidR="007A776C" w:rsidRPr="007A776C" w:rsidRDefault="007A776C" w:rsidP="007A776C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При развитии </w:t>
      </w:r>
      <w:proofErr w:type="spell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гипоперфузии</w:t>
      </w:r>
      <w:proofErr w:type="spell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мозге выявляются уменьшение содержания кислорода и глюкозы в крови, сдвиг метаболизма глюкозы в сторону анаэробного гликолиза, </w:t>
      </w:r>
      <w:proofErr w:type="spell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лактат</w:t>
      </w:r>
      <w:proofErr w:type="spell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-ацидоз, </w:t>
      </w:r>
      <w:proofErr w:type="spell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гиперосмолярность</w:t>
      </w:r>
      <w:proofErr w:type="spell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капиллярный стаз, склонность к </w:t>
      </w:r>
      <w:proofErr w:type="spell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тромбообразованию</w:t>
      </w:r>
      <w:proofErr w:type="spell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деполяризация </w:t>
      </w:r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 xml:space="preserve">клеточных мембран, активация </w:t>
      </w:r>
      <w:proofErr w:type="spell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микроглии</w:t>
      </w:r>
      <w:proofErr w:type="spell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которая начинает вырабатывать </w:t>
      </w:r>
      <w:proofErr w:type="spell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нейротоксины</w:t>
      </w:r>
      <w:proofErr w:type="spell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, что наряду с другими патофизиологическими процессами приводит к гибели клеток [1, 7].</w:t>
      </w:r>
    </w:p>
    <w:p w:rsidR="007A776C" w:rsidRPr="007A776C" w:rsidRDefault="007A776C" w:rsidP="007A776C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На сегодняшний день установлены основные механизмы последовательных изменений функционального состояния и морфологии ткани мозга, возникающих на фоне ишемии [5, 8, 9]. Изучение морфологических и биохимических изменений в центральной нервной системе при цереброваскулярной недостаточности позволило установить, что одной из составляющих патогенеза повреждения мозговой ткани является трофическая </w:t>
      </w:r>
      <w:proofErr w:type="spell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дисрегуляция</w:t>
      </w:r>
      <w:proofErr w:type="spell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приводящая к инициации каскада </w:t>
      </w:r>
      <w:proofErr w:type="spell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патобиохимических</w:t>
      </w:r>
      <w:proofErr w:type="spell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реакций, которые ведут к гибели нейронов по механизмам некроза и </w:t>
      </w:r>
      <w:proofErr w:type="spell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апоптоза</w:t>
      </w:r>
      <w:proofErr w:type="spell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[10–12]. Считается, что в регуляции клеточного гомеостаза зрелой мозговой ткани ключевую роль играет процесс программированной гибели нейронов [1, 13]. Имеются данные о роли </w:t>
      </w:r>
      <w:proofErr w:type="spell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апоптоза</w:t>
      </w:r>
      <w:proofErr w:type="spell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поражении нервной системы в случаях </w:t>
      </w:r>
      <w:proofErr w:type="spell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безынсультного</w:t>
      </w:r>
      <w:proofErr w:type="spell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течения цереброваскулярного заболевания и при проявляющейся обратимым неврологическим дефицитом кратковременной ишемии [14–16].</w:t>
      </w:r>
    </w:p>
    <w:p w:rsidR="007A776C" w:rsidRPr="007A776C" w:rsidRDefault="007A776C" w:rsidP="007A776C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Особое внимание уделяется поиску препаратов, способных предупредить возникновение или замедлить прогрессирование уже имеющейся патологии мозга. В работах отечественных и зарубежных авторов [17–19] доказано, что применение препаратов, улучшающих кровоснабжение мозга, обладающих </w:t>
      </w:r>
      <w:proofErr w:type="spell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нейропротективными</w:t>
      </w:r>
      <w:proofErr w:type="spell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свойствами, способно предотвратить или уменьшить повреждение мозга.</w:t>
      </w:r>
    </w:p>
    <w:p w:rsidR="007A776C" w:rsidRPr="007A776C" w:rsidRDefault="007A776C" w:rsidP="007A776C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Одним из препаратов, широко применяемых в неврологической практике, является </w:t>
      </w:r>
      <w:proofErr w:type="spell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Кавинтон</w:t>
      </w:r>
      <w:proofErr w:type="spell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Результаты экспериментальных и клинических исследований позволили выявить молекулярные механизмы терапевтической активности </w:t>
      </w:r>
      <w:proofErr w:type="spell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Кавинтона</w:t>
      </w:r>
      <w:proofErr w:type="spell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. Оказалось, что препарат способен оказывать влияние на состояние мозгового метаболизма, макр</w:t>
      </w:r>
      <w:proofErr w:type="gram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о-</w:t>
      </w:r>
      <w:proofErr w:type="gram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микроциркуляции головного мозга [18, 20, 21]. </w:t>
      </w:r>
      <w:proofErr w:type="spell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Кавинтон</w:t>
      </w:r>
      <w:proofErr w:type="spell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увеличивает утилизацию глюкозы и кислорода тканями мозга, улучшая переносимость гипоксии, переводит обмен глюкозы на энергетически более выгодный аэробный путь, увеличивает концентрацию АТФ, усиливает внутримозговой обмен норадреналина и серотонина, что обеспечивает </w:t>
      </w:r>
      <w:proofErr w:type="spell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нейропротективный</w:t>
      </w:r>
      <w:proofErr w:type="spell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эффект [4, 22, 23]. Установлены </w:t>
      </w:r>
      <w:proofErr w:type="spell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мембраностабилизирующий</w:t>
      </w:r>
      <w:proofErr w:type="spell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эффект препарата, его стимулирующее действие на </w:t>
      </w:r>
      <w:proofErr w:type="spell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норадренергическую</w:t>
      </w:r>
      <w:proofErr w:type="spell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систему восходящей ретикулярной формации [21, 24].</w:t>
      </w:r>
    </w:p>
    <w:p w:rsidR="007A776C" w:rsidRPr="007A776C" w:rsidRDefault="007A776C" w:rsidP="007A776C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Кавинтон</w:t>
      </w:r>
      <w:proofErr w:type="spell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ингибирует агрегацию тромбоцитов, снижает патологически увеличенную вязкость крови, нормализует </w:t>
      </w:r>
      <w:proofErr w:type="spell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деформируемость</w:t>
      </w:r>
      <w:proofErr w:type="spell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эритроцитов, способствует тканевому транспорту кислорода [25]. Помимо этого, </w:t>
      </w:r>
      <w:proofErr w:type="spell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Кавинтон</w:t>
      </w:r>
      <w:proofErr w:type="spell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избирательно повышает мозговой кровоток, уменьшая периферическое сопротивление мозговых сосудов без воздействия на системное кровообращение, и не вызывает феномена «обкрадывания» [26, 27].</w:t>
      </w:r>
    </w:p>
    <w:p w:rsidR="007A776C" w:rsidRPr="007A776C" w:rsidRDefault="007A776C" w:rsidP="007A776C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Кавинтон</w:t>
      </w:r>
      <w:proofErr w:type="spell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положительно влияет на способность к </w:t>
      </w:r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обучению и сохранению информации. Отмечено достоверное улучшение кратковременной памяти после перорального приема 40 мг </w:t>
      </w:r>
      <w:proofErr w:type="spell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Кавинтона</w:t>
      </w:r>
      <w:proofErr w:type="spell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сутки [23, 25]. Одновременно облегчается процесс обучения, что позволяет рассматривать препарат в ряду так называемых когнитивных усилителей (</w:t>
      </w:r>
      <w:proofErr w:type="spell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ноотропов</w:t>
      </w:r>
      <w:proofErr w:type="spell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) [24, 28]. Получены обнадеживающие данные о положительном эффекте применения </w:t>
      </w:r>
      <w:proofErr w:type="spell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Кавинтона</w:t>
      </w:r>
      <w:proofErr w:type="spell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у пациентов с когнитивными нарушениями [8]. Применение </w:t>
      </w:r>
      <w:proofErr w:type="spell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Кавинтона</w:t>
      </w:r>
      <w:proofErr w:type="spell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оказывает </w:t>
      </w:r>
      <w:proofErr w:type="spell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дозозависимый</w:t>
      </w:r>
      <w:proofErr w:type="spell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эффект, что наряду с хорошей переносимостью обеспечивает широкий терапевтический диапазон действия препарата.</w:t>
      </w:r>
    </w:p>
    <w:p w:rsidR="007A776C" w:rsidRPr="007A776C" w:rsidRDefault="007A776C" w:rsidP="007A776C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A776C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Целью </w:t>
      </w:r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работы явилось исследование эффективности и безопасности курса лечения </w:t>
      </w:r>
      <w:proofErr w:type="spell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Кавинтоном</w:t>
      </w:r>
      <w:proofErr w:type="spell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его влияния на выраженность когнитивных нарушений и качество жизни у больных с хронической цереброваскулярной недостаточностью.</w:t>
      </w:r>
    </w:p>
    <w:p w:rsidR="007A776C" w:rsidRPr="007A776C" w:rsidRDefault="007A776C" w:rsidP="007A776C">
      <w:pPr>
        <w:spacing w:after="180" w:line="240" w:lineRule="auto"/>
        <w:outlineLvl w:val="1"/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</w:pPr>
      <w:r w:rsidRPr="007A776C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Материал и методы</w:t>
      </w:r>
    </w:p>
    <w:p w:rsidR="007A776C" w:rsidRPr="007A776C" w:rsidRDefault="007A776C" w:rsidP="007A776C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Исследование проводилось в 7 центрах Москвы, Санкт-Петербурга, Ярославля и Самары.</w:t>
      </w:r>
    </w:p>
    <w:p w:rsidR="007A776C" w:rsidRPr="007A776C" w:rsidRDefault="007A776C" w:rsidP="007A776C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Наблюдались 159 пациентов (46 мужчин и 113 женщин) с хронической цереброваскулярной </w:t>
      </w:r>
      <w:proofErr w:type="gram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недостаточностью в возрасте</w:t>
      </w:r>
      <w:proofErr w:type="gram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от 35 до 65 лет, находившихся на амбулаторном лечении и получавших </w:t>
      </w:r>
      <w:proofErr w:type="spell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Кавинтон</w:t>
      </w:r>
      <w:proofErr w:type="spell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течение 1-й недели внутривенно капельно по 20, 30, 40, 50, 50, 50, 50 мг в сутки в разведении на 500 мл физиологического раствора. В дальнейшем пациенты получали перорально </w:t>
      </w:r>
      <w:proofErr w:type="spell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Кавинтон</w:t>
      </w:r>
      <w:proofErr w:type="spell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форте по 10 мг 3 раза в день в течение 11 </w:t>
      </w:r>
      <w:proofErr w:type="spell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нед</w:t>
      </w:r>
      <w:proofErr w:type="spell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Помимо этого больные получали максимально унифицированную терапию, не включающую других </w:t>
      </w:r>
      <w:proofErr w:type="spell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ноотропов</w:t>
      </w:r>
      <w:proofErr w:type="spell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препаратов, влияющих на мозговое кровообращение.</w:t>
      </w:r>
    </w:p>
    <w:p w:rsidR="007A776C" w:rsidRPr="007A776C" w:rsidRDefault="007A776C" w:rsidP="007A776C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Критериями включения в исследование явились: верифицированное цереброваскулярное заболевание, подтвержденное результатами КТ/МРТ с показателями по краткой шкале оценки психического статуса (</w:t>
      </w:r>
      <w:proofErr w:type="spell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Mini-mental</w:t>
      </w:r>
      <w:proofErr w:type="spell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state</w:t>
      </w:r>
      <w:proofErr w:type="spell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examination</w:t>
      </w:r>
      <w:proofErr w:type="spell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— MMSE) от 24 до 28 баллов и индексом массы тела от 18 до 35 кг/м</w:t>
      </w:r>
      <w:proofErr w:type="gramStart"/>
      <w:r w:rsidRPr="007A776C">
        <w:rPr>
          <w:rFonts w:ascii="Verdana" w:eastAsia="Times New Roman" w:hAnsi="Verdana" w:cs="Times New Roman"/>
          <w:sz w:val="18"/>
          <w:szCs w:val="18"/>
          <w:vertAlign w:val="superscript"/>
          <w:lang w:eastAsia="ru-RU"/>
        </w:rPr>
        <w:t>2</w:t>
      </w:r>
      <w:proofErr w:type="gram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7A776C" w:rsidRPr="007A776C" w:rsidRDefault="007A776C" w:rsidP="007A776C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 xml:space="preserve">Критериями исключения были: острое нарушение мозгового кровообращения; прием </w:t>
      </w:r>
      <w:proofErr w:type="spell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Кавинтона</w:t>
      </w:r>
      <w:proofErr w:type="spell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за месяц до включения в исследование; лечение препаратами, влияющими на </w:t>
      </w:r>
      <w:proofErr w:type="spell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мнестико</w:t>
      </w:r>
      <w:proofErr w:type="spell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-интеллектуальные функции за 2 </w:t>
      </w:r>
      <w:proofErr w:type="spell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нед</w:t>
      </w:r>
      <w:proofErr w:type="spell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до включения в исследование; </w:t>
      </w:r>
      <w:proofErr w:type="spell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некорригируемая</w:t>
      </w:r>
      <w:proofErr w:type="spell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АГ (систолическое АД &gt; 180 мм </w:t>
      </w:r>
      <w:proofErr w:type="spell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рт.ст</w:t>
      </w:r>
      <w:proofErr w:type="spell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и диастолическое </w:t>
      </w:r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&gt; 100 мм </w:t>
      </w:r>
      <w:proofErr w:type="spell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рт.ст</w:t>
      </w:r>
      <w:proofErr w:type="spell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.); увеличение интервала QT более 500 </w:t>
      </w:r>
      <w:proofErr w:type="spell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мс</w:t>
      </w:r>
      <w:proofErr w:type="spell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; тяжелая сопутствующая соматическая патология, приводящая к клинически значимым изменениям данных клинико-лабораторных исследований.</w:t>
      </w:r>
    </w:p>
    <w:p w:rsidR="007A776C" w:rsidRPr="007A776C" w:rsidRDefault="007A776C" w:rsidP="007A776C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С целью детальной оценки неврологического статуса использовались стандартные опросники MMSE, CGIC-PGIC (шкалы оценки общего клинического впечатления и общего впечатления пациента об изменениях состояния), SF-36 — многоцелевой опросник для определения качества жизни [16]. Неврологический статус пациентов оценивался до начала исследования, в конце 1-й недели наблюдения и в конце курса лечения (90-й день).</w:t>
      </w:r>
    </w:p>
    <w:p w:rsidR="007A776C" w:rsidRPr="007A776C" w:rsidRDefault="007A776C" w:rsidP="007A776C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Безопасность лечения оценивалась посредством наблюдений за изменениями в состоянии больных, основных показателей жизнедеятельности организма, показателей ЭКГ и результатов лабораторных исследований; проводился анализ неблагоприятных явлений.</w:t>
      </w:r>
    </w:p>
    <w:p w:rsidR="007A776C" w:rsidRPr="007A776C" w:rsidRDefault="007A776C" w:rsidP="007A776C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Статистический анализ выполнялся с использованием программного продукта SAS </w:t>
      </w:r>
      <w:proofErr w:type="spell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System</w:t>
      </w:r>
      <w:proofErr w:type="spell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for</w:t>
      </w:r>
      <w:proofErr w:type="spell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Windows</w:t>
      </w:r>
      <w:proofErr w:type="spell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(выпуск 9.1 TS) специалистами группы биологической статистики компании «</w:t>
      </w:r>
      <w:proofErr w:type="spell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Гедеон</w:t>
      </w:r>
      <w:proofErr w:type="spell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Рихтер». Все статистические тесты оценивались при уровне значимости в 95 % (p = 0,05).</w:t>
      </w:r>
    </w:p>
    <w:p w:rsidR="007A776C" w:rsidRPr="007A776C" w:rsidRDefault="007A776C" w:rsidP="007A776C">
      <w:pPr>
        <w:spacing w:after="180" w:line="240" w:lineRule="auto"/>
        <w:outlineLvl w:val="1"/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</w:pPr>
      <w:r w:rsidRPr="007A776C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Результаты</w:t>
      </w:r>
    </w:p>
    <w:p w:rsidR="007A776C" w:rsidRPr="007A776C" w:rsidRDefault="007A776C" w:rsidP="007A776C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На фоне лечения зарегистрирована статистически значимая разница между начальным и конечным уровнем (90-е сутки) по шкале MMSE (p &lt; 0,0001), улучшение в среднем составило 2 пункта (табл. 1).</w:t>
      </w:r>
    </w:p>
    <w:p w:rsidR="007A776C" w:rsidRPr="007A776C" w:rsidRDefault="007A776C" w:rsidP="007A776C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При анализе динамики показателей качества жизни (опросник SF-36) была отмечена статистически достоверная положительная динамика (</w:t>
      </w:r>
      <w:proofErr w:type="gram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р</w:t>
      </w:r>
      <w:proofErr w:type="gram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&lt; 0,0001) по пунктам «общее состояние здоровья», «психическое здоровье» и «жизненная активность» (табл. 2). Динамика балльной оценки по пункту «ролевое функционирование, обусловленное эмоциональным и физическим состоянием», также выявила высокую эффективность </w:t>
      </w:r>
      <w:proofErr w:type="spell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Кавинтона</w:t>
      </w:r>
      <w:proofErr w:type="spell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. Из всех пунктов опросника SF-36 наименьшие показатели эффективности получены по пункту «интенсивность боли».</w:t>
      </w:r>
    </w:p>
    <w:p w:rsidR="007A776C" w:rsidRPr="007A776C" w:rsidRDefault="007A776C" w:rsidP="007A776C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Анализ результатов оценки общего клинического состояния больных позволил выявить достоверную динамику как по шкале CGIC (</w:t>
      </w:r>
      <w:proofErr w:type="gram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р</w:t>
      </w:r>
      <w:proofErr w:type="gram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&lt; 0,0001), так и по шкале PGIC (р &lt; 0,0001). Степень позитивных изменений для шкалы клинического состояния, оцениваемого врачом, соответствовала степени изменений по шкале самооценки пациента, что показывает высокое соответствие динамики субъективных и объективных параметров исследования (табл. 3).</w:t>
      </w:r>
    </w:p>
    <w:p w:rsidR="007A776C" w:rsidRPr="007A776C" w:rsidRDefault="007A776C" w:rsidP="007A776C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A776C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Безопасность лечения и нежелательные явления.</w:t>
      </w:r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У 14 (8,8 %) пациентов, вошедших в исследование, отмечены неблагоприятные эффекты. Наиболее частыми были жалобы на головную боль, головокружение несистемного характера (20 %), тошноту, тахикардию, нарушения координации, появление высыпаний на коже. В 3 случаях лечение </w:t>
      </w:r>
      <w:proofErr w:type="spell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Кавинтоном</w:t>
      </w:r>
      <w:proofErr w:type="spell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было прекращено из-за головной боли, головокружения, аллергической реакции.</w:t>
      </w:r>
    </w:p>
    <w:p w:rsidR="007A776C" w:rsidRPr="007A776C" w:rsidRDefault="007A776C" w:rsidP="007A776C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При анализе данных лабораторно-инструментальных методов исследования не отмечено клинически значимых изменений. Показатели ЭКГ и данные лабораторных исследований были стабильными в течение всего периода исследования. Большинство неблагоприятных явлений относились к легкой и средней степени тяжести и не требовали дополнительного назначения лекарственной терапии.</w:t>
      </w:r>
    </w:p>
    <w:p w:rsidR="007A776C" w:rsidRPr="007A776C" w:rsidRDefault="007A776C" w:rsidP="007A776C">
      <w:pPr>
        <w:spacing w:after="180" w:line="240" w:lineRule="auto"/>
        <w:outlineLvl w:val="1"/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</w:pPr>
      <w:r w:rsidRPr="007A776C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Обсуждение</w:t>
      </w:r>
    </w:p>
    <w:p w:rsidR="007A776C" w:rsidRPr="007A776C" w:rsidRDefault="007A776C" w:rsidP="007A776C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Успехи в лечении больных с цереброваскулярной патологией обусловлены внедрением новых фармакологических средств и разработкой новых принципов применения хорошо известных лекарственных препаратов.</w:t>
      </w:r>
    </w:p>
    <w:p w:rsidR="007A776C" w:rsidRPr="007A776C" w:rsidRDefault="007A776C" w:rsidP="007A776C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Клинический опыт использования в неврологии препаратов с вазоактивными и </w:t>
      </w:r>
      <w:proofErr w:type="spell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ноотропными</w:t>
      </w:r>
      <w:proofErr w:type="spell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свойствами позволил сформулировать некоторые практические рекомендации относительно предпочтительного использования препаратов с доказанными множественными эффектами, а также длительности терапевтических курсов и оптимальных терапевтических дозировок [29–31]. Существующая тенденция назначения вазоактивных и </w:t>
      </w:r>
      <w:proofErr w:type="spell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ноотропных</w:t>
      </w:r>
      <w:proofErr w:type="spell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препаратов в минимальных терапевтических дозах и короткими курсами делает терапию либо неэффективной, либо эффективной только у отдельных категорий больных, что способствует формированию скептического отношения к такому направлению лечения в целом.</w:t>
      </w:r>
    </w:p>
    <w:p w:rsidR="007A776C" w:rsidRPr="007A776C" w:rsidRDefault="007A776C" w:rsidP="007A776C">
      <w:pPr>
        <w:spacing w:before="165" w:after="165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A776C">
        <w:rPr>
          <w:rFonts w:ascii="Verdana" w:eastAsia="Times New Roman" w:hAnsi="Verdana" w:cs="Times New Roman"/>
          <w:noProof/>
          <w:sz w:val="18"/>
          <w:szCs w:val="18"/>
          <w:lang w:eastAsia="ru-RU"/>
        </w:rPr>
        <w:lastRenderedPageBreak/>
        <w:drawing>
          <wp:inline distT="0" distB="0" distL="0" distR="0" wp14:anchorId="2400B1A3" wp14:editId="49AB7482">
            <wp:extent cx="6324600" cy="5695950"/>
            <wp:effectExtent l="0" t="0" r="0" b="0"/>
            <wp:docPr id="2" name="Рисунок 2" descr="http://www.mif-ua.com/frmtext/MNJ/2009/3(25)2009/29/2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f-ua.com/frmtext/MNJ/2009/3(25)2009/29/29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76C" w:rsidRPr="007A776C" w:rsidRDefault="007A776C" w:rsidP="007A776C">
      <w:pPr>
        <w:spacing w:before="165" w:after="165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A776C"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 wp14:anchorId="3C7FFDE6" wp14:editId="153C2A83">
            <wp:extent cx="6324600" cy="1574800"/>
            <wp:effectExtent l="0" t="0" r="0" b="6350"/>
            <wp:docPr id="3" name="Рисунок 3" descr="http://www.mif-ua.com/frmtext/MNJ/2009/3(25)2009/29/2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if-ua.com/frmtext/MNJ/2009/3(25)2009/29/29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76C" w:rsidRPr="007A776C" w:rsidRDefault="007A776C" w:rsidP="007A776C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Результаты проведенного исследования в целом подтвердили данные клинических наблюдений и некоторых клинических исследований о преимуществах использования более высоких доз препарата в отношении влияния на степень когнитивных нарушений, основные клинические проявления и качество жизни пациентов с хроническими цереброваскулярными расстройствами. Особенностью предлагаемой схемы терапии является комбинирование в течение 3-месячного курса лечения парентеральной и пероральной форм препарата на различных этапах терапии. В I фазе лечения в течение 1 </w:t>
      </w:r>
      <w:proofErr w:type="spell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нед</w:t>
      </w:r>
      <w:proofErr w:type="spell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предлагается наращивание дозы препарата от 20 до 50 мг в сутки с последующим пероральным применением </w:t>
      </w:r>
      <w:proofErr w:type="spell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Кавинтона</w:t>
      </w:r>
      <w:proofErr w:type="spell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форте по 30 мг в сутки в течение 11 </w:t>
      </w:r>
      <w:proofErr w:type="spell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нед</w:t>
      </w:r>
      <w:proofErr w:type="spell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. Применяемая схема позволяет добиться очевидного терапевтического эффекта как по субъективным характеристикам, так и по ряду объективных показателей.</w:t>
      </w:r>
    </w:p>
    <w:p w:rsidR="007A776C" w:rsidRPr="007A776C" w:rsidRDefault="007A776C" w:rsidP="007A776C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 xml:space="preserve">В процессе наблюдения за больными, проходящими лечение </w:t>
      </w:r>
      <w:proofErr w:type="spell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Кавинтоном</w:t>
      </w:r>
      <w:proofErr w:type="spell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, установлено статистически значимое нарастание суммарного балла по шкале MMSE, которое в среднем в динамике составило около 2 баллов, что является, несомненно, клинически значимым отражением уменьшения степени когнитивного дефекта.</w:t>
      </w:r>
    </w:p>
    <w:p w:rsidR="007A776C" w:rsidRPr="007A776C" w:rsidRDefault="007A776C" w:rsidP="007A776C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Изучение влияния </w:t>
      </w:r>
      <w:proofErr w:type="spell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Кавинтона</w:t>
      </w:r>
      <w:proofErr w:type="spell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на общее состояние пациентов с применением </w:t>
      </w:r>
      <w:proofErr w:type="spell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валидизированных</w:t>
      </w:r>
      <w:proofErr w:type="spell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объективных шкал общего клинического состояния в соответствии с врачебной оценкой и оценкой пациентов (шкала CGIC-PGIC) продемонстрировало, что для большинства пациентов было характерно гармоничное нарастание эффекта с соответствующей оценкой от «слегка улучшилось» до «сильно улучшилось» в процессе лечения. Наконец, анализ влияния лечения на качество жизни пациентов позволил установить достоверную динамику по  шкале SF-36 с наиболее значимыми изменениями по шкалам общего состояния здоровья, психического здоровья и жизненной активности.</w:t>
      </w:r>
    </w:p>
    <w:p w:rsidR="007A776C" w:rsidRPr="007A776C" w:rsidRDefault="007A776C" w:rsidP="007A776C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Анализ безопасности применения </w:t>
      </w:r>
      <w:proofErr w:type="spell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Кавинтона</w:t>
      </w:r>
      <w:proofErr w:type="spell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позволил выявить в 8,8 % случаев наличие побочных эффектов, которые носили легкий и преходящий характер, что в целом принципиально не отличается от наблюдений при применении </w:t>
      </w:r>
      <w:proofErr w:type="spell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Кавинтона</w:t>
      </w:r>
      <w:proofErr w:type="spell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стандартных дозировках.</w:t>
      </w:r>
    </w:p>
    <w:p w:rsidR="007A776C" w:rsidRPr="007A776C" w:rsidRDefault="007A776C" w:rsidP="007A776C">
      <w:pPr>
        <w:spacing w:before="165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gram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Таким образом, данное исследование не только подтвердило эффективность и безопасность применения </w:t>
      </w:r>
      <w:proofErr w:type="spell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Кавинтона</w:t>
      </w:r>
      <w:proofErr w:type="spell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</w:t>
      </w:r>
      <w:proofErr w:type="spell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Кавинтона</w:t>
      </w:r>
      <w:proofErr w:type="spell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форте в терапии больных с хронической цереброваскулярной недостаточностью, но и продемонстрировало существенные преимущества и безопасность использования препарата в более высокой дозировке (20–50 мг в сутки раствора </w:t>
      </w:r>
      <w:proofErr w:type="spell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Кавинтона</w:t>
      </w:r>
      <w:proofErr w:type="spell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внутривенно и 30 мг в сутки </w:t>
      </w:r>
      <w:proofErr w:type="spell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Кавинтона</w:t>
      </w:r>
      <w:proofErr w:type="spell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форте перорально) на протяжении 3 мес. В работе получено подтверждение положения о</w:t>
      </w:r>
      <w:proofErr w:type="gram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том, что для достижения клинически значимого эффекта, особенно в отношении когнитивных расстройств, необходимо использование адекватно высоких дозировок </w:t>
      </w:r>
      <w:proofErr w:type="spellStart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>Кавинтона</w:t>
      </w:r>
      <w:proofErr w:type="spellEnd"/>
      <w:r w:rsidRPr="007A776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на протяжении достаточно длительного курса терапии.</w:t>
      </w:r>
    </w:p>
    <w:p w:rsidR="007A776C" w:rsidRPr="007A776C" w:rsidRDefault="007A776C" w:rsidP="007A776C">
      <w:pPr>
        <w:spacing w:line="240" w:lineRule="auto"/>
        <w:rPr>
          <w:rFonts w:ascii="Verdana" w:eastAsia="Times New Roman" w:hAnsi="Verdana" w:cs="Times New Roman"/>
          <w:vanish/>
          <w:color w:val="999999"/>
          <w:sz w:val="15"/>
          <w:szCs w:val="15"/>
          <w:lang w:eastAsia="ru-RU"/>
        </w:rPr>
      </w:pPr>
      <w:r w:rsidRPr="007A776C">
        <w:rPr>
          <w:rFonts w:ascii="Verdana" w:eastAsia="Times New Roman" w:hAnsi="Verdana" w:cs="Times New Roman"/>
          <w:vanish/>
          <w:color w:val="999999"/>
          <w:sz w:val="15"/>
          <w:szCs w:val="15"/>
          <w:lang w:eastAsia="ru-RU"/>
        </w:rPr>
        <w:t> </w:t>
      </w:r>
    </w:p>
    <w:p w:rsidR="007A776C" w:rsidRPr="007A776C" w:rsidRDefault="007A776C" w:rsidP="007A776C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7A776C" w:rsidRPr="007A776C" w:rsidRDefault="007A776C" w:rsidP="007A776C">
      <w:pPr>
        <w:spacing w:after="24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7A776C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Список литературы</w:t>
      </w:r>
    </w:p>
    <w:p w:rsidR="007A776C" w:rsidRPr="007A776C" w:rsidRDefault="007A776C" w:rsidP="007A776C">
      <w:pPr>
        <w:spacing w:before="165" w:line="240" w:lineRule="auto"/>
        <w:rPr>
          <w:rFonts w:ascii="Verdana" w:eastAsia="Times New Roman" w:hAnsi="Verdana" w:cs="Times New Roman"/>
          <w:sz w:val="17"/>
          <w:szCs w:val="17"/>
          <w:lang w:val="en-US" w:eastAsia="ru-RU"/>
        </w:rPr>
      </w:pPr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1.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Bogousslavsky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 J. </w:t>
      </w:r>
      <w:proofErr w:type="gram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On behalf of the European Stroke Initiative.</w:t>
      </w:r>
      <w:proofErr w:type="gram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 Stroke prevention by the practitioner //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Cerebrovasc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. </w:t>
      </w:r>
      <w:proofErr w:type="gram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Dis. — 1999.</w:t>
      </w:r>
      <w:proofErr w:type="gram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 — 9 (Suppl. 4). — 1-68.</w:t>
      </w:r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br/>
        <w:t xml:space="preserve">2.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Dahlolof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 </w:t>
      </w:r>
      <w:proofErr w:type="gram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>В</w:t>
      </w:r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.,</w:t>
      </w:r>
      <w:proofErr w:type="gram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 Devereux R.,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Kjeldsen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 S. et al. Cardiovascular morbidity and mortality in the Losartan Intervention For Endpoint reduction in hypertension study (LIFE): a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randomised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 study against atenolol // Lancet. — 2002. — 359. — 1003.</w:t>
      </w:r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br/>
        <w:t>3. Goldstein L.B., Adams R., Becker K. et al. Primary prevention of ischemic stroke: a statement for healthcare professionals from the Stroke Council of the American Heart Association // Stroke. — 2001. — 32. — 280-299.</w:t>
      </w:r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br/>
      </w:r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4.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>Фритас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 Г.P., Богуславский Дж. Первичная профилактика инсульта // Журн.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>неврол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>. и психиатр. — 2001. — 1. — 7-21 (приложение «Инсульт»).</w:t>
      </w:r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br/>
        <w:t>5. Гусев Е.И., Скворцова В.И. Ишемия головного мозга. — М.: Медицина, 2001.</w:t>
      </w:r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br/>
        <w:t xml:space="preserve">6. Скворцова В.И. Участие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>апоптоза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 в формировании инфаркта мозга // Журн.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>неврол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>. и психиатр. — 2001. — 2. — 12-19 (приложение «Инсульт»).</w:t>
      </w:r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br/>
      </w:r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7.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Warach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 S. Measurement of the penumbra with MRI: It is about time // Stroke. — 2003. — 34. — 10. — 2533-2534.</w:t>
      </w:r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br/>
        <w:t xml:space="preserve">8.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Diogo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 N. et al. The safety and lack of efficacy of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vinpocetine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 in Alzheimer’s disease // J. Am.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Geriatr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. </w:t>
      </w:r>
      <w:proofErr w:type="gram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Soc. — 1989.</w:t>
      </w:r>
      <w:proofErr w:type="gram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 — 37. — 6. — 515-520.</w:t>
      </w:r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br/>
        <w:t xml:space="preserve">9.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Gulyas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 B.,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Haldin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 C.,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Karlsson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 P. Brain uptake and plasma metabolism of (11C)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vinpocetine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: a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prelimanary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 PET study in a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cynomolgus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 monkey // J. Neuroimaging. — 1999. — 9. — 4. — 217-222.</w:t>
      </w:r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br/>
      </w:r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>10. Скворцова В.И. и др. Хроническая ишемия мозга // Болезни сердца и сосудов. — 2006. — 3. — 4-8.</w:t>
      </w:r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br/>
      </w:r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11.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Gaal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 L., Molnar P. Effect of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vinpocetine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 on noradrenergic neurons in rat locus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coeruleus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 // Eur. J.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Pharmacol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. — 1990. — 187. — 3. — 537-539.</w:t>
      </w:r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br/>
        <w:t xml:space="preserve">12. Santos M.S., Duarte A.I., Moreira P.I. et al.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Synaptosomal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 response to oxidative stress: effect of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vinpocetine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 // Free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Radic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. </w:t>
      </w:r>
      <w:proofErr w:type="gram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Res. — 2000.</w:t>
      </w:r>
      <w:proofErr w:type="gram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 — 32. — 1. — 57-66.</w:t>
      </w:r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br/>
      </w:r>
      <w:proofErr w:type="gram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13.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Bereczki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 D.,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Fekete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 I.</w:t>
      </w:r>
      <w:proofErr w:type="gram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 A systematic review of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vinpocetine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 therapy in acute ischemic stroke // Eur. J.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Clin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.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>Pharmacol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>. — 1999. — 55. — 5. — 349-352.</w:t>
      </w:r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br/>
        <w:t xml:space="preserve">14.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>Кавинтон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 в эксперименте и клинической практике. Метод. рекомендации</w:t>
      </w:r>
      <w:proofErr w:type="gram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 / П</w:t>
      </w:r>
      <w:proofErr w:type="gram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>од ред. Е.И. Гусева. — М., 1998.</w:t>
      </w:r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br/>
        <w:t xml:space="preserve">15.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>Суслина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 З.А.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>Кавинтон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 в лечении больных с ишемическими нарушениями мозгового кровообращения // Рус</w:t>
      </w:r>
      <w:proofErr w:type="gram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>.</w:t>
      </w:r>
      <w:proofErr w:type="gram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 </w:t>
      </w:r>
      <w:proofErr w:type="gram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>м</w:t>
      </w:r>
      <w:proofErr w:type="gram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>ед. журн. — 2003. — 10. — 25. — 1170-1174.</w:t>
      </w:r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br/>
        <w:t>16. Шкалы, тесты и опросники в неврологии и психиатрии. Руководство для врачей и научных сотрудников</w:t>
      </w:r>
      <w:proofErr w:type="gram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 / П</w:t>
      </w:r>
      <w:proofErr w:type="gram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>од ред. А.Н. Беловой. — М., 2004. — 434 с.</w:t>
      </w:r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br/>
        <w:t xml:space="preserve">17. Хаджиев Д.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>Нейропротективная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 терапия при латентных формах недостаточности мозгового кровообращения как первичная профилактика ишемического инсульта // Качественная клин</w:t>
      </w:r>
      <w:proofErr w:type="gram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>.</w:t>
      </w:r>
      <w:proofErr w:type="gram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 </w:t>
      </w:r>
      <w:proofErr w:type="gram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>п</w:t>
      </w:r>
      <w:proofErr w:type="gram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>рактика. — 2003. — 2. — 1-5.</w:t>
      </w:r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br/>
        <w:t xml:space="preserve">18.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>Эниня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 Г.И.,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>Пуриня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 И.В., Тимофеева Т.Н. Влияние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>кавинтона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,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>трентала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,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>сермиона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 и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>курантила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 на скорость кровотока в отдельных участках мозговых артерий // Журн.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>неврол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>. и психиатр. — 1992. — 94. — 1. — 13-15.</w:t>
      </w:r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br/>
      </w:r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19.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Erdo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 S.L.,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Cai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 N.S., Wolff J.R., Kiss B. Vin</w:t>
      </w:r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>р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ocetine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 protects against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excitotoxic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 cell death in primary </w:t>
      </w:r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lastRenderedPageBreak/>
        <w:t xml:space="preserve">cultures of rat cerebral cortex // Eur. J.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Pharmacol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. — 1990. — 187. — 3. — 551-553.</w:t>
      </w:r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br/>
      </w:r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20. Хорват Ш.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>Кавинтон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 в терапии хронической недостаточности мозгового кровообращения //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>Orvosi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>Hetilap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>. — 2001. — 8. — 383-389.</w:t>
      </w:r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br/>
      </w:r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21. Hayakawa M. Effect of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vinpocetine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 on red blood cell deformability in stroke patients //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Arzneim-Forsch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. — 1992. — 42. — 4. — 425-427.</w:t>
      </w:r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br/>
        <w:t xml:space="preserve">22. Kiss </w:t>
      </w:r>
      <w:proofErr w:type="gram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>В</w:t>
      </w:r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.,</w:t>
      </w:r>
      <w:proofErr w:type="gram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Karpati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 E. Mechanism of action of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vinpocetine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 //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Acta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 Pharm. Hung. — 1996. — 66. — 5. — 213-224.</w:t>
      </w:r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br/>
        <w:t xml:space="preserve">23.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Moldvai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 I.,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Temesvari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-Major E.,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Szantay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 C.J. et al. Synthesis of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vinca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 alkaloids and related compounds. Part 84. Sulfonamide derivatives of some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vinca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 alkaloids with cardiovascular activity. — 1997. — 330. — 6. — 190-198.</w:t>
      </w:r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br/>
        <w:t xml:space="preserve">24. Miyazaki M. The effect of a cerebral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vasodilatator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vinpocetine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 on </w:t>
      </w:r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>с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erebral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 vascular resistance evaluated by the Doppler ultrasonic technique in patients with cerebrovascular diseases // Angiology. — 1995. — 46. — 1. — 53-58.</w:t>
      </w:r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br/>
        <w:t xml:space="preserve">25.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Hindmarch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 I. Calcium antagonist activity of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vinpocetine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 and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vincamine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 in several models of cerebral ischemia // Drug Dev. Res. — 1988. — 14. — 3–4. — 297-304.</w:t>
      </w:r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br/>
        <w:t xml:space="preserve">26. Kiss </w:t>
      </w:r>
      <w:proofErr w:type="gram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>В</w:t>
      </w:r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.,</w:t>
      </w:r>
      <w:proofErr w:type="gram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Szporny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 L. On the possible role of central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monoami</w:t>
      </w:r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softHyphen/>
        <w:t>nergic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 systems in the central nervous system actions of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vinpocetine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 // Drug Dev. Res. — 1988. — 14. — 263-279.</w:t>
      </w:r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br/>
        <w:t xml:space="preserve">27. Ley Beth M.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Vinpocetine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: revitalize your brain with periwinkle extract. — BL Publications, Detroit Lakes MN, 2000. — 17 </w:t>
      </w:r>
      <w:r w:rsidRPr="007A776C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>р</w:t>
      </w:r>
      <w:proofErr w:type="gram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.</w:t>
      </w:r>
      <w:proofErr w:type="gram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br/>
        <w:t xml:space="preserve">28.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Lakics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 V.,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Sebestyen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 M.G.,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Erdo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 S.L.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Vinpocetine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 is a highly potent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neuroprotectant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 against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veratridin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-induced cell death in primary cultures of rat cerebral cortex //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Neirosci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.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Lett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. — 1995. — 185. — 2. — 127-130.</w:t>
      </w:r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br/>
        <w:t xml:space="preserve">29.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Erdo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 S.L., Molnar P.,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Lakics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 V. et al.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Vincamine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 and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vincanol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 are potent blockers of voltage-gated Na+ channels // Eur. J.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Pharmacol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. — 1996. — 314. — 1–2. — 69-73.</w:t>
      </w:r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br/>
        <w:t xml:space="preserve">30.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Hindmarch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 L., Fuchs H.,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Erzigkeit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 H. Efficacy and tolerance of </w:t>
      </w:r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br/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vinpocetine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 in ambulant patients suffering from mild to moderate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orga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-</w:t>
      </w:r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br/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nic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psychosyndromes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 // Int.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Clin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. Psychol. — 1991. — 6. — 31-43.</w:t>
      </w:r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br/>
        <w:t xml:space="preserve">31. Molnar P.,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Erdo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 S.L.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Vinpocetine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 xml:space="preserve"> is potent as phenytoin to block voltage-gated Na+ channels in rat cortical neurons // Eur. J. </w:t>
      </w:r>
      <w:proofErr w:type="spellStart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Pharmacol</w:t>
      </w:r>
      <w:proofErr w:type="spellEnd"/>
      <w:r w:rsidRPr="007A776C">
        <w:rPr>
          <w:rFonts w:ascii="Verdana" w:eastAsia="Times New Roman" w:hAnsi="Verdana" w:cs="Times New Roman"/>
          <w:i/>
          <w:iCs/>
          <w:sz w:val="17"/>
          <w:szCs w:val="17"/>
          <w:lang w:val="en-US" w:eastAsia="ru-RU"/>
        </w:rPr>
        <w:t>. — 1995. — 273. — 3. — 303-306. </w:t>
      </w:r>
    </w:p>
    <w:p w:rsidR="00E96B52" w:rsidRPr="007A776C" w:rsidRDefault="00752354">
      <w:pPr>
        <w:rPr>
          <w:lang w:val="en-US"/>
        </w:rPr>
      </w:pPr>
      <w:bookmarkStart w:id="0" w:name="_GoBack"/>
      <w:bookmarkEnd w:id="0"/>
    </w:p>
    <w:sectPr w:rsidR="00E96B52" w:rsidRPr="007A776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354" w:rsidRDefault="00752354" w:rsidP="007A776C">
      <w:pPr>
        <w:spacing w:after="0" w:line="240" w:lineRule="auto"/>
      </w:pPr>
      <w:r>
        <w:separator/>
      </w:r>
    </w:p>
  </w:endnote>
  <w:endnote w:type="continuationSeparator" w:id="0">
    <w:p w:rsidR="00752354" w:rsidRDefault="00752354" w:rsidP="007A7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600655"/>
      <w:docPartObj>
        <w:docPartGallery w:val="Page Numbers (Bottom of Page)"/>
        <w:docPartUnique/>
      </w:docPartObj>
    </w:sdtPr>
    <w:sdtContent>
      <w:p w:rsidR="007A776C" w:rsidRDefault="007A776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A776C" w:rsidRDefault="007A77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354" w:rsidRDefault="00752354" w:rsidP="007A776C">
      <w:pPr>
        <w:spacing w:after="0" w:line="240" w:lineRule="auto"/>
      </w:pPr>
      <w:r>
        <w:separator/>
      </w:r>
    </w:p>
  </w:footnote>
  <w:footnote w:type="continuationSeparator" w:id="0">
    <w:p w:rsidR="00752354" w:rsidRDefault="00752354" w:rsidP="007A77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6C"/>
    <w:rsid w:val="003E78F5"/>
    <w:rsid w:val="006E4204"/>
    <w:rsid w:val="00752354"/>
    <w:rsid w:val="007A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7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A7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776C"/>
  </w:style>
  <w:style w:type="paragraph" w:styleId="a7">
    <w:name w:val="footer"/>
    <w:basedOn w:val="a"/>
    <w:link w:val="a8"/>
    <w:uiPriority w:val="99"/>
    <w:unhideWhenUsed/>
    <w:rsid w:val="007A7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7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7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A7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776C"/>
  </w:style>
  <w:style w:type="paragraph" w:styleId="a7">
    <w:name w:val="footer"/>
    <w:basedOn w:val="a"/>
    <w:link w:val="a8"/>
    <w:uiPriority w:val="99"/>
    <w:unhideWhenUsed/>
    <w:rsid w:val="007A7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7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4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single" w:sz="6" w:space="8" w:color="000000"/>
            <w:right w:val="none" w:sz="0" w:space="0" w:color="auto"/>
          </w:divBdr>
        </w:div>
        <w:div w:id="18297863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single" w:sz="6" w:space="8" w:color="000000"/>
            <w:right w:val="none" w:sz="0" w:space="0" w:color="auto"/>
          </w:divBdr>
        </w:div>
        <w:div w:id="167445111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single" w:sz="6" w:space="8" w:color="000000"/>
            <w:right w:val="none" w:sz="0" w:space="0" w:color="auto"/>
          </w:divBdr>
          <w:divsChild>
            <w:div w:id="594942063">
              <w:marLeft w:val="0"/>
              <w:marRight w:val="0"/>
              <w:marTop w:val="0"/>
              <w:marBottom w:val="0"/>
              <w:divBdr>
                <w:top w:val="dotted" w:sz="6" w:space="8" w:color="AAAAAA"/>
                <w:left w:val="dotted" w:sz="6" w:space="8" w:color="AAAAAA"/>
                <w:bottom w:val="dotted" w:sz="6" w:space="8" w:color="AAAAAA"/>
                <w:right w:val="dotted" w:sz="6" w:space="8" w:color="AAAAAA"/>
              </w:divBdr>
            </w:div>
          </w:divsChild>
        </w:div>
        <w:div w:id="60470215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single" w:sz="6" w:space="8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3030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Rozhdestvenskaja O.A.</dc:creator>
  <cp:lastModifiedBy>Rozhdestvenskaja O.A.</cp:lastModifiedBy>
  <cp:revision>1</cp:revision>
  <dcterms:created xsi:type="dcterms:W3CDTF">2017-12-04T09:57:00Z</dcterms:created>
  <dcterms:modified xsi:type="dcterms:W3CDTF">2017-12-04T09:58:00Z</dcterms:modified>
</cp:coreProperties>
</file>