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63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F12C5" w:rsidTr="006F12C5">
        <w:tc>
          <w:tcPr>
            <w:tcW w:w="9496" w:type="dxa"/>
          </w:tcPr>
          <w:p w:rsidR="006F12C5" w:rsidRPr="006F12C5" w:rsidRDefault="006F12C5" w:rsidP="006F12C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Щербаков А.Д.,</w:t>
            </w:r>
          </w:p>
          <w:p w:rsidR="006F12C5" w:rsidRDefault="006F12C5" w:rsidP="006F1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уголовного права</w:t>
            </w:r>
          </w:p>
          <w:p w:rsidR="006F12C5" w:rsidRDefault="006F12C5" w:rsidP="006F1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университет правосудия»</w:t>
            </w:r>
          </w:p>
          <w:p w:rsidR="006F12C5" w:rsidRPr="006F12C5" w:rsidRDefault="006F12C5" w:rsidP="006F12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alex_03071991@mail.ru</w:t>
            </w:r>
          </w:p>
          <w:p w:rsidR="006F12C5" w:rsidRDefault="006F12C5" w:rsidP="006F1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2C5" w:rsidRDefault="006F12C5" w:rsidP="006F12C5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C5" w:rsidRPr="006F12C5" w:rsidRDefault="006F12C5" w:rsidP="006F12C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2C5">
        <w:rPr>
          <w:rFonts w:ascii="Times New Roman" w:hAnsi="Times New Roman" w:cs="Times New Roman"/>
          <w:b/>
          <w:sz w:val="28"/>
          <w:szCs w:val="28"/>
        </w:rPr>
        <w:t>К вопросу о качестве уголовного закона в современной России (на примере статьи 151</w:t>
      </w:r>
      <w:r w:rsidRPr="006F12C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6F12C5">
        <w:rPr>
          <w:rFonts w:ascii="Times New Roman" w:hAnsi="Times New Roman" w:cs="Times New Roman"/>
          <w:b/>
          <w:sz w:val="28"/>
          <w:szCs w:val="28"/>
        </w:rPr>
        <w:t xml:space="preserve"> Уголовного кодекса Российской Федерации)</w:t>
      </w:r>
      <w:r w:rsidR="00B90EC5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F56AB" w:rsidRDefault="006F12C5" w:rsidP="00FC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Немногим более</w:t>
      </w:r>
      <w:r w:rsidR="00F30CE3">
        <w:rPr>
          <w:rFonts w:ascii="Times New Roman" w:hAnsi="Times New Roman" w:cs="Times New Roman"/>
          <w:sz w:val="28"/>
          <w:szCs w:val="28"/>
        </w:rPr>
        <w:t xml:space="preserve"> столетия назад </w:t>
      </w:r>
      <w:r w:rsidR="00E31040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F30CE3">
        <w:rPr>
          <w:rFonts w:ascii="Times New Roman" w:hAnsi="Times New Roman" w:cs="Times New Roman"/>
          <w:sz w:val="28"/>
          <w:szCs w:val="28"/>
        </w:rPr>
        <w:t>основоположник</w:t>
      </w:r>
      <w:r w:rsidR="00E31040">
        <w:rPr>
          <w:rFonts w:ascii="Times New Roman" w:hAnsi="Times New Roman" w:cs="Times New Roman"/>
          <w:sz w:val="28"/>
          <w:szCs w:val="28"/>
        </w:rPr>
        <w:t>ов</w:t>
      </w:r>
      <w:r w:rsidR="00F30CE3">
        <w:rPr>
          <w:rFonts w:ascii="Times New Roman" w:hAnsi="Times New Roman" w:cs="Times New Roman"/>
          <w:sz w:val="28"/>
          <w:szCs w:val="28"/>
        </w:rPr>
        <w:t xml:space="preserve"> западной социологии</w:t>
      </w:r>
      <w:r w:rsidR="00FC6968">
        <w:rPr>
          <w:rFonts w:ascii="Times New Roman" w:hAnsi="Times New Roman" w:cs="Times New Roman"/>
          <w:sz w:val="28"/>
          <w:szCs w:val="28"/>
        </w:rPr>
        <w:t xml:space="preserve"> и выдающийся ученик прославленного Л.И. </w:t>
      </w:r>
      <w:proofErr w:type="spellStart"/>
      <w:r w:rsidR="00FC6968">
        <w:rPr>
          <w:rFonts w:ascii="Times New Roman" w:hAnsi="Times New Roman" w:cs="Times New Roman"/>
          <w:sz w:val="28"/>
          <w:szCs w:val="28"/>
        </w:rPr>
        <w:t>Петражицкого</w:t>
      </w:r>
      <w:proofErr w:type="spellEnd"/>
      <w:r w:rsidR="00517E72">
        <w:rPr>
          <w:rFonts w:ascii="Times New Roman" w:hAnsi="Times New Roman" w:cs="Times New Roman"/>
          <w:sz w:val="28"/>
          <w:szCs w:val="28"/>
        </w:rPr>
        <w:t>,</w:t>
      </w:r>
      <w:r w:rsidR="00E31040">
        <w:rPr>
          <w:rFonts w:ascii="Times New Roman" w:hAnsi="Times New Roman" w:cs="Times New Roman"/>
          <w:sz w:val="28"/>
          <w:szCs w:val="28"/>
        </w:rPr>
        <w:t xml:space="preserve"> </w:t>
      </w:r>
      <w:r w:rsidR="00F30CE3">
        <w:rPr>
          <w:rFonts w:ascii="Times New Roman" w:hAnsi="Times New Roman" w:cs="Times New Roman"/>
          <w:sz w:val="28"/>
          <w:szCs w:val="28"/>
        </w:rPr>
        <w:t xml:space="preserve"> П.А. Сорокин</w:t>
      </w:r>
      <w:r w:rsidR="00E31040">
        <w:rPr>
          <w:rFonts w:ascii="Times New Roman" w:hAnsi="Times New Roman" w:cs="Times New Roman"/>
          <w:sz w:val="28"/>
          <w:szCs w:val="28"/>
        </w:rPr>
        <w:t>,</w:t>
      </w:r>
      <w:r w:rsidR="00F30CE3">
        <w:rPr>
          <w:rFonts w:ascii="Times New Roman" w:hAnsi="Times New Roman" w:cs="Times New Roman"/>
          <w:sz w:val="28"/>
          <w:szCs w:val="28"/>
        </w:rPr>
        <w:t xml:space="preserve"> </w:t>
      </w:r>
      <w:r w:rsidR="00E31040">
        <w:rPr>
          <w:rFonts w:ascii="Times New Roman" w:hAnsi="Times New Roman" w:cs="Times New Roman"/>
          <w:sz w:val="28"/>
          <w:szCs w:val="28"/>
        </w:rPr>
        <w:t xml:space="preserve"> рассуждая о престу</w:t>
      </w:r>
      <w:r w:rsidR="00FC6968">
        <w:rPr>
          <w:rFonts w:ascii="Times New Roman" w:hAnsi="Times New Roman" w:cs="Times New Roman"/>
          <w:sz w:val="28"/>
          <w:szCs w:val="28"/>
        </w:rPr>
        <w:t>плении и наказании как категориях</w:t>
      </w:r>
      <w:r w:rsidR="00E31040">
        <w:rPr>
          <w:rFonts w:ascii="Times New Roman" w:hAnsi="Times New Roman" w:cs="Times New Roman"/>
          <w:sz w:val="28"/>
          <w:szCs w:val="28"/>
        </w:rPr>
        <w:t xml:space="preserve"> поведения  отметил, </w:t>
      </w:r>
      <w:r w:rsidR="00F30CE3">
        <w:rPr>
          <w:rFonts w:ascii="Times New Roman" w:hAnsi="Times New Roman" w:cs="Times New Roman"/>
          <w:sz w:val="28"/>
          <w:szCs w:val="28"/>
        </w:rPr>
        <w:t>что «</w:t>
      </w:r>
      <w:r w:rsidR="00E31040" w:rsidRPr="00E31040">
        <w:rPr>
          <w:rFonts w:ascii="Times New Roman" w:hAnsi="Times New Roman" w:cs="Times New Roman"/>
          <w:sz w:val="28"/>
          <w:szCs w:val="28"/>
        </w:rPr>
        <w:t xml:space="preserve">утверждать, что </w:t>
      </w:r>
      <w:r w:rsidR="00E31040">
        <w:rPr>
          <w:rFonts w:ascii="Times New Roman" w:hAnsi="Times New Roman" w:cs="Times New Roman"/>
          <w:sz w:val="28"/>
          <w:szCs w:val="28"/>
        </w:rPr>
        <w:t>законодатель всегда причислял к уголовным правонарушениям акты наиболе</w:t>
      </w:r>
      <w:r w:rsidR="00E31040" w:rsidRPr="00E31040">
        <w:rPr>
          <w:rFonts w:ascii="Times New Roman" w:hAnsi="Times New Roman" w:cs="Times New Roman"/>
          <w:sz w:val="28"/>
          <w:szCs w:val="28"/>
        </w:rPr>
        <w:t>е вредные и опасные для жизни, и благос</w:t>
      </w:r>
      <w:r w:rsidR="00E31040">
        <w:rPr>
          <w:rFonts w:ascii="Times New Roman" w:hAnsi="Times New Roman" w:cs="Times New Roman"/>
          <w:sz w:val="28"/>
          <w:szCs w:val="28"/>
        </w:rPr>
        <w:t>остояния группы</w:t>
      </w:r>
      <w:r w:rsidR="00FC6968">
        <w:rPr>
          <w:rFonts w:ascii="Times New Roman" w:hAnsi="Times New Roman" w:cs="Times New Roman"/>
          <w:sz w:val="28"/>
          <w:szCs w:val="28"/>
        </w:rPr>
        <w:t xml:space="preserve"> </w:t>
      </w:r>
      <w:r w:rsidR="00E31040">
        <w:rPr>
          <w:rFonts w:ascii="Times New Roman" w:hAnsi="Times New Roman" w:cs="Times New Roman"/>
          <w:sz w:val="28"/>
          <w:szCs w:val="28"/>
        </w:rPr>
        <w:t>—</w:t>
      </w:r>
      <w:r w:rsidR="00FC6968">
        <w:rPr>
          <w:rFonts w:ascii="Times New Roman" w:hAnsi="Times New Roman" w:cs="Times New Roman"/>
          <w:sz w:val="28"/>
          <w:szCs w:val="28"/>
        </w:rPr>
        <w:t xml:space="preserve"> </w:t>
      </w:r>
      <w:r w:rsidR="00E31040">
        <w:rPr>
          <w:rFonts w:ascii="Times New Roman" w:hAnsi="Times New Roman" w:cs="Times New Roman"/>
          <w:sz w:val="28"/>
          <w:szCs w:val="28"/>
        </w:rPr>
        <w:t>дело безнадежное</w:t>
      </w:r>
      <w:r w:rsidR="00F30CE3">
        <w:rPr>
          <w:rFonts w:ascii="Times New Roman" w:hAnsi="Times New Roman" w:cs="Times New Roman"/>
          <w:sz w:val="28"/>
          <w:szCs w:val="28"/>
        </w:rPr>
        <w:t>»</w:t>
      </w:r>
      <w:r w:rsidR="00F30CE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F30CE3">
        <w:rPr>
          <w:rFonts w:ascii="Times New Roman" w:hAnsi="Times New Roman" w:cs="Times New Roman"/>
          <w:sz w:val="28"/>
          <w:szCs w:val="28"/>
        </w:rPr>
        <w:t xml:space="preserve">. </w:t>
      </w:r>
      <w:r w:rsidR="00FC6968">
        <w:rPr>
          <w:rFonts w:ascii="Times New Roman" w:hAnsi="Times New Roman" w:cs="Times New Roman"/>
          <w:sz w:val="28"/>
          <w:szCs w:val="28"/>
        </w:rPr>
        <w:t>И он оказался совершенно прав. Оценивая современную правотворческую деятельность высшего законодательного органа Российской Федерации – Федерального Собрания Российской Федерации – стоит согласиться также и со словами В.С. Комиссарова, отмечавшим, что действующий Уголовный кодекс Российской Федерации</w:t>
      </w:r>
      <w:r w:rsidR="00A77192">
        <w:rPr>
          <w:rFonts w:ascii="Times New Roman" w:hAnsi="Times New Roman" w:cs="Times New Roman"/>
          <w:sz w:val="28"/>
          <w:szCs w:val="28"/>
        </w:rPr>
        <w:t xml:space="preserve"> (</w:t>
      </w:r>
      <w:r w:rsidR="00A77192" w:rsidRPr="009B2281">
        <w:rPr>
          <w:rFonts w:ascii="Times New Roman" w:hAnsi="Times New Roman" w:cs="Times New Roman"/>
          <w:i/>
          <w:sz w:val="28"/>
          <w:szCs w:val="28"/>
        </w:rPr>
        <w:t>далее по тексту</w:t>
      </w:r>
      <w:r w:rsidR="00A77192">
        <w:rPr>
          <w:rFonts w:ascii="Times New Roman" w:hAnsi="Times New Roman" w:cs="Times New Roman"/>
          <w:sz w:val="28"/>
          <w:szCs w:val="28"/>
        </w:rPr>
        <w:t xml:space="preserve"> – УК РФ, если не указано иное)</w:t>
      </w:r>
      <w:r w:rsidR="00FC6968">
        <w:rPr>
          <w:rFonts w:ascii="Times New Roman" w:hAnsi="Times New Roman" w:cs="Times New Roman"/>
          <w:sz w:val="28"/>
          <w:szCs w:val="28"/>
        </w:rPr>
        <w:t xml:space="preserve"> изменяется бессистемно, </w:t>
      </w:r>
      <w:r w:rsidR="001F56AB">
        <w:rPr>
          <w:rFonts w:ascii="Times New Roman" w:hAnsi="Times New Roman" w:cs="Times New Roman"/>
          <w:sz w:val="28"/>
          <w:szCs w:val="28"/>
        </w:rPr>
        <w:t>структура Особенной части становится все более запутанной и изменения носят бессистемный характер</w:t>
      </w:r>
      <w:r w:rsidR="001F56A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1F5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040" w:rsidRDefault="00FC6968" w:rsidP="00FC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</w:t>
      </w:r>
      <w:r w:rsidR="00017E66">
        <w:rPr>
          <w:rFonts w:ascii="Times New Roman" w:hAnsi="Times New Roman" w:cs="Times New Roman"/>
          <w:sz w:val="28"/>
          <w:szCs w:val="28"/>
        </w:rPr>
        <w:t>уголовного закона</w:t>
      </w:r>
      <w:r w:rsidR="000B3D87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2017 года, направленные, по мнению законодателя, на предупреждение случаев т.н. детского и подросткового суицида</w:t>
      </w:r>
      <w:r w:rsidR="00A90758">
        <w:rPr>
          <w:rFonts w:ascii="Times New Roman" w:hAnsi="Times New Roman" w:cs="Times New Roman"/>
          <w:sz w:val="28"/>
          <w:szCs w:val="28"/>
        </w:rPr>
        <w:t>льного поведения</w:t>
      </w:r>
      <w:r>
        <w:rPr>
          <w:rFonts w:ascii="Times New Roman" w:hAnsi="Times New Roman" w:cs="Times New Roman"/>
          <w:sz w:val="28"/>
          <w:szCs w:val="28"/>
        </w:rPr>
        <w:t>, породили больше проблем и трудностей для конечного правоприменителя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B3D87">
        <w:rPr>
          <w:rFonts w:ascii="Times New Roman" w:hAnsi="Times New Roman" w:cs="Times New Roman"/>
          <w:sz w:val="28"/>
          <w:szCs w:val="28"/>
        </w:rPr>
        <w:t>, а также, как представляется, не решили основной цели, заявленной в пояснительной записке к проекту федерального закона: «</w:t>
      </w:r>
      <w:r w:rsidR="00B90EC5">
        <w:rPr>
          <w:rFonts w:ascii="Times New Roman" w:hAnsi="Times New Roman" w:cs="Times New Roman"/>
          <w:sz w:val="28"/>
          <w:szCs w:val="28"/>
        </w:rPr>
        <w:t>защита детей от информации, побуждающей к суициду и опасному для жизни поведению</w:t>
      </w:r>
      <w:r w:rsidR="000B3D87">
        <w:rPr>
          <w:rFonts w:ascii="Times New Roman" w:hAnsi="Times New Roman" w:cs="Times New Roman"/>
          <w:sz w:val="28"/>
          <w:szCs w:val="28"/>
        </w:rPr>
        <w:t>»</w:t>
      </w:r>
      <w:r w:rsidR="000B3D87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B90EC5">
        <w:rPr>
          <w:rFonts w:ascii="Times New Roman" w:hAnsi="Times New Roman" w:cs="Times New Roman"/>
          <w:sz w:val="28"/>
          <w:szCs w:val="28"/>
        </w:rPr>
        <w:t>.</w:t>
      </w:r>
      <w:r w:rsidR="00F228E3">
        <w:rPr>
          <w:rFonts w:ascii="Times New Roman" w:hAnsi="Times New Roman" w:cs="Times New Roman"/>
          <w:sz w:val="28"/>
          <w:szCs w:val="28"/>
        </w:rPr>
        <w:t xml:space="preserve"> Остановимся на статье 152.1</w:t>
      </w:r>
      <w:proofErr w:type="gramEnd"/>
      <w:r w:rsidR="00F228E3">
        <w:rPr>
          <w:rFonts w:ascii="Times New Roman" w:hAnsi="Times New Roman" w:cs="Times New Roman"/>
          <w:sz w:val="28"/>
          <w:szCs w:val="28"/>
        </w:rPr>
        <w:t xml:space="preserve"> УК РФ. </w:t>
      </w:r>
    </w:p>
    <w:p w:rsidR="00B90EC5" w:rsidRDefault="00B90EC5" w:rsidP="00FC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структуру статьи 152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2281">
        <w:rPr>
          <w:rFonts w:ascii="Times New Roman" w:hAnsi="Times New Roman" w:cs="Times New Roman"/>
          <w:sz w:val="28"/>
          <w:szCs w:val="28"/>
        </w:rPr>
        <w:t xml:space="preserve"> УК РФ с позиции доктринального толкования, можно отметить заложенное внутреннее противоречие в </w:t>
      </w:r>
      <w:r w:rsidR="00355C7F">
        <w:rPr>
          <w:rFonts w:ascii="Times New Roman" w:hAnsi="Times New Roman" w:cs="Times New Roman"/>
          <w:sz w:val="28"/>
          <w:szCs w:val="28"/>
        </w:rPr>
        <w:t xml:space="preserve">описании объективной стороны преступного деяния. </w:t>
      </w:r>
    </w:p>
    <w:p w:rsidR="00355C7F" w:rsidRDefault="00355C7F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</w:t>
      </w:r>
      <w:r w:rsidR="00DE6FEA">
        <w:rPr>
          <w:rFonts w:ascii="Times New Roman" w:hAnsi="Times New Roman" w:cs="Times New Roman"/>
          <w:sz w:val="28"/>
          <w:szCs w:val="28"/>
        </w:rPr>
        <w:t xml:space="preserve">уголовного деликта </w:t>
      </w:r>
      <w:r>
        <w:rPr>
          <w:rFonts w:ascii="Times New Roman" w:hAnsi="Times New Roman" w:cs="Times New Roman"/>
          <w:sz w:val="28"/>
          <w:szCs w:val="28"/>
        </w:rPr>
        <w:t>описывается через указание на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5C7F">
        <w:rPr>
          <w:rFonts w:ascii="Times New Roman" w:hAnsi="Times New Roman" w:cs="Times New Roman"/>
          <w:i/>
          <w:sz w:val="28"/>
          <w:szCs w:val="28"/>
        </w:rPr>
        <w:t>склонение или иное вовлечение несовершеннолетнего в совершение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». Но что же мы получим при более детальном рассмотрении указанных понятий в рамках настоящей нормы?</w:t>
      </w:r>
    </w:p>
    <w:p w:rsidR="00355C7F" w:rsidRDefault="00DE6FEA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дать толкование </w:t>
      </w:r>
      <w:r w:rsidR="00906A6E"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 «склонение» и «вовлечение» </w:t>
      </w:r>
      <w:r w:rsidR="00EC49E2">
        <w:rPr>
          <w:rFonts w:ascii="Times New Roman" w:hAnsi="Times New Roman" w:cs="Times New Roman"/>
          <w:sz w:val="28"/>
          <w:szCs w:val="28"/>
        </w:rPr>
        <w:t xml:space="preserve">(хотя стоит согласиться с позицией </w:t>
      </w:r>
      <w:proofErr w:type="spellStart"/>
      <w:r w:rsidR="00EC49E2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="00EC49E2">
        <w:rPr>
          <w:rFonts w:ascii="Times New Roman" w:hAnsi="Times New Roman" w:cs="Times New Roman"/>
          <w:sz w:val="28"/>
          <w:szCs w:val="28"/>
        </w:rPr>
        <w:t xml:space="preserve"> Н.Н, что единого подхода все же нет</w:t>
      </w:r>
      <w:r w:rsidR="00EC49E2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EC4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можно использовать определения, содержащиеся в словаре русского языка под ред. С.И. Ожегова, под вовлечением</w:t>
      </w:r>
      <w:r w:rsidR="00A65728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предлагается понимать «побуждение, привлечение кого-либо к участию в чем-либо»</w:t>
      </w:r>
      <w:r w:rsidR="00A65728">
        <w:rPr>
          <w:rFonts w:ascii="Times New Roman" w:hAnsi="Times New Roman" w:cs="Times New Roman"/>
          <w:sz w:val="28"/>
          <w:szCs w:val="28"/>
        </w:rPr>
        <w:t xml:space="preserve">, а под склонением </w:t>
      </w:r>
      <w:r w:rsidR="00A65728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A65728">
        <w:rPr>
          <w:rFonts w:ascii="Times New Roman" w:hAnsi="Times New Roman" w:cs="Times New Roman"/>
          <w:sz w:val="28"/>
          <w:szCs w:val="28"/>
        </w:rPr>
        <w:t xml:space="preserve">уже </w:t>
      </w:r>
      <w:r w:rsidR="00A65728">
        <w:rPr>
          <w:rFonts w:ascii="Times New Roman" w:hAnsi="Times New Roman" w:cs="Times New Roman"/>
          <w:sz w:val="28"/>
          <w:szCs w:val="28"/>
        </w:rPr>
        <w:t xml:space="preserve">словарю Ушакова) </w:t>
      </w:r>
      <w:r w:rsidR="00A65728">
        <w:rPr>
          <w:rFonts w:ascii="Times New Roman" w:hAnsi="Times New Roman" w:cs="Times New Roman"/>
          <w:sz w:val="28"/>
          <w:szCs w:val="28"/>
        </w:rPr>
        <w:t xml:space="preserve"> – «убедить кого-либо сделать </w:t>
      </w:r>
      <w:r w:rsidR="00A65728">
        <w:rPr>
          <w:rFonts w:ascii="Times New Roman" w:hAnsi="Times New Roman" w:cs="Times New Roman"/>
          <w:sz w:val="28"/>
          <w:szCs w:val="28"/>
        </w:rPr>
        <w:lastRenderedPageBreak/>
        <w:t>что-либо»</w:t>
      </w:r>
      <w:r w:rsidR="00A65728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A65728">
        <w:rPr>
          <w:rFonts w:ascii="Times New Roman" w:hAnsi="Times New Roman" w:cs="Times New Roman"/>
          <w:sz w:val="28"/>
          <w:szCs w:val="28"/>
        </w:rPr>
        <w:t xml:space="preserve">. </w:t>
      </w:r>
      <w:r w:rsidR="00F01DC8">
        <w:rPr>
          <w:rFonts w:ascii="Times New Roman" w:hAnsi="Times New Roman" w:cs="Times New Roman"/>
          <w:sz w:val="28"/>
          <w:szCs w:val="28"/>
        </w:rPr>
        <w:t>Исходя из этого, можно отметить, что склонение представляется более узким понятием, нежели вовлечение, так как вовлечение заканчивается совершением действия, к которому лицо подталкивалось (или попытку такого действия)</w:t>
      </w:r>
      <w:r w:rsidR="00081FB2">
        <w:rPr>
          <w:rFonts w:ascii="Times New Roman" w:hAnsi="Times New Roman" w:cs="Times New Roman"/>
          <w:sz w:val="28"/>
          <w:szCs w:val="28"/>
        </w:rPr>
        <w:t>, в о</w:t>
      </w:r>
      <w:r w:rsidR="00A8029D">
        <w:rPr>
          <w:rFonts w:ascii="Times New Roman" w:hAnsi="Times New Roman" w:cs="Times New Roman"/>
          <w:sz w:val="28"/>
          <w:szCs w:val="28"/>
        </w:rPr>
        <w:t>тличие от склонения, которое не всегда предполагает совершение действия</w:t>
      </w:r>
      <w:r w:rsidR="00A8029D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A8029D">
        <w:rPr>
          <w:rFonts w:ascii="Times New Roman" w:hAnsi="Times New Roman" w:cs="Times New Roman"/>
          <w:sz w:val="28"/>
          <w:szCs w:val="28"/>
        </w:rPr>
        <w:t>.</w:t>
      </w:r>
    </w:p>
    <w:p w:rsidR="00C1322E" w:rsidRDefault="00A8029D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данное размышление, </w:t>
      </w:r>
      <w:r w:rsidR="00E21DC0">
        <w:rPr>
          <w:rFonts w:ascii="Times New Roman" w:hAnsi="Times New Roman" w:cs="Times New Roman"/>
          <w:sz w:val="28"/>
          <w:szCs w:val="28"/>
        </w:rPr>
        <w:t>представляетс</w:t>
      </w:r>
      <w:bookmarkStart w:id="0" w:name="_GoBack"/>
      <w:bookmarkEnd w:id="0"/>
      <w:r w:rsidR="00E21DC0">
        <w:rPr>
          <w:rFonts w:ascii="Times New Roman" w:hAnsi="Times New Roman" w:cs="Times New Roman"/>
          <w:sz w:val="28"/>
          <w:szCs w:val="28"/>
        </w:rPr>
        <w:t>я нелогичной</w:t>
      </w:r>
      <w:r w:rsidR="007D3C2E">
        <w:rPr>
          <w:rFonts w:ascii="Times New Roman" w:hAnsi="Times New Roman" w:cs="Times New Roman"/>
          <w:sz w:val="28"/>
          <w:szCs w:val="28"/>
        </w:rPr>
        <w:t xml:space="preserve"> позиция законодателя, который в названии статьи указал категорию «Вовлечение», раскрывая ее в первой части через указание на склонение или иное вовлечение</w:t>
      </w:r>
      <w:r w:rsidR="007D3C2E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7D3C2E">
        <w:rPr>
          <w:rFonts w:ascii="Times New Roman" w:hAnsi="Times New Roman" w:cs="Times New Roman"/>
          <w:sz w:val="28"/>
          <w:szCs w:val="28"/>
        </w:rPr>
        <w:t xml:space="preserve">. В этом случае получается, что </w:t>
      </w:r>
      <w:r w:rsidR="001705E2">
        <w:rPr>
          <w:rFonts w:ascii="Times New Roman" w:hAnsi="Times New Roman" w:cs="Times New Roman"/>
          <w:sz w:val="28"/>
          <w:szCs w:val="28"/>
        </w:rPr>
        <w:t>существует какое-то «иное вовлечение», отличное от классического вовлечения</w:t>
      </w:r>
      <w:r w:rsidR="00925B82">
        <w:rPr>
          <w:rFonts w:ascii="Times New Roman" w:hAnsi="Times New Roman" w:cs="Times New Roman"/>
          <w:sz w:val="28"/>
          <w:szCs w:val="28"/>
        </w:rPr>
        <w:t xml:space="preserve"> (которое законодатель вынес только в заглавие, но не в описание объективной стороны деяния)</w:t>
      </w:r>
      <w:r w:rsidR="001705E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705E2">
        <w:rPr>
          <w:rFonts w:ascii="Times New Roman" w:hAnsi="Times New Roman" w:cs="Times New Roman"/>
          <w:sz w:val="28"/>
          <w:szCs w:val="28"/>
        </w:rPr>
        <w:t xml:space="preserve"> </w:t>
      </w:r>
      <w:r w:rsidR="00107C3A">
        <w:rPr>
          <w:rFonts w:ascii="Times New Roman" w:hAnsi="Times New Roman" w:cs="Times New Roman"/>
          <w:sz w:val="28"/>
          <w:szCs w:val="28"/>
        </w:rPr>
        <w:t xml:space="preserve">Но что понимать под этим? Представляется, что указанную категорию на практике будет очень сложно не то, что установить, но, что важнее, доказать.  </w:t>
      </w:r>
    </w:p>
    <w:p w:rsidR="00107C3A" w:rsidRDefault="00107C3A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аспект, который </w:t>
      </w:r>
      <w:r w:rsidR="00C1322E">
        <w:rPr>
          <w:rFonts w:ascii="Times New Roman" w:hAnsi="Times New Roman" w:cs="Times New Roman"/>
          <w:sz w:val="28"/>
          <w:szCs w:val="28"/>
        </w:rPr>
        <w:t>вызывает определенные</w:t>
      </w:r>
      <w:r w:rsidR="00257A7E">
        <w:rPr>
          <w:rFonts w:ascii="Times New Roman" w:hAnsi="Times New Roman" w:cs="Times New Roman"/>
          <w:sz w:val="28"/>
          <w:szCs w:val="28"/>
        </w:rPr>
        <w:t xml:space="preserve"> сомнения</w:t>
      </w:r>
      <w:r w:rsidR="00C1322E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257A7E">
        <w:rPr>
          <w:rFonts w:ascii="Times New Roman" w:hAnsi="Times New Roman" w:cs="Times New Roman"/>
          <w:sz w:val="28"/>
          <w:szCs w:val="28"/>
        </w:rPr>
        <w:t xml:space="preserve">указании на отсутствие </w:t>
      </w:r>
      <w:r w:rsidR="00C1322E">
        <w:rPr>
          <w:rFonts w:ascii="Times New Roman" w:hAnsi="Times New Roman" w:cs="Times New Roman"/>
          <w:sz w:val="28"/>
          <w:szCs w:val="28"/>
        </w:rPr>
        <w:t xml:space="preserve">наличия признаков склонения к самоубийству, вовлечения в совершение преступлений и антиобщественных </w:t>
      </w:r>
      <w:r w:rsidR="00C1322E">
        <w:rPr>
          <w:rFonts w:ascii="Times New Roman" w:hAnsi="Times New Roman" w:cs="Times New Roman"/>
          <w:sz w:val="28"/>
          <w:szCs w:val="28"/>
        </w:rPr>
        <w:lastRenderedPageBreak/>
        <w:t xml:space="preserve">действий. Законодатель предусмотрел некую категорию «противоправные действия, заведомо для виновного представляющие опасность для жизни несовершеннолетнего», но что под этим понимать также не представляется возможным установить. Во-первых, </w:t>
      </w:r>
      <w:r w:rsidR="00D64BF9">
        <w:rPr>
          <w:rFonts w:ascii="Times New Roman" w:hAnsi="Times New Roman" w:cs="Times New Roman"/>
          <w:sz w:val="28"/>
          <w:szCs w:val="28"/>
        </w:rPr>
        <w:t>это определение по степени своей неопределенности может конкурировать только с определением «антиобщественного поведения», которое включено законодателем в текст федерального закона от 23.06.2016 № 182-ФЗ (супружеская измена подпадает по случай деяния, противного общепринятым нормам морали и нравственности?)</w:t>
      </w:r>
      <w:r w:rsidR="00D64BF9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D64BF9">
        <w:rPr>
          <w:rFonts w:ascii="Times New Roman" w:hAnsi="Times New Roman" w:cs="Times New Roman"/>
          <w:sz w:val="28"/>
          <w:szCs w:val="28"/>
        </w:rPr>
        <w:t>. Во-вторых, почему сфера опасности для несовершеннолетнего ограничена только областью жизни? Ведь примеры, на которые ссылался законодатель в пояснительной записке (т.н. «</w:t>
      </w:r>
      <w:proofErr w:type="spellStart"/>
      <w:r w:rsidR="00D64BF9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="00D64BF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64BF9">
        <w:rPr>
          <w:rFonts w:ascii="Times New Roman" w:hAnsi="Times New Roman" w:cs="Times New Roman"/>
          <w:sz w:val="28"/>
          <w:szCs w:val="28"/>
        </w:rPr>
        <w:t>перебегание</w:t>
      </w:r>
      <w:proofErr w:type="spellEnd"/>
      <w:r w:rsidR="00D64BF9">
        <w:rPr>
          <w:rFonts w:ascii="Times New Roman" w:hAnsi="Times New Roman" w:cs="Times New Roman"/>
          <w:sz w:val="28"/>
          <w:szCs w:val="28"/>
        </w:rPr>
        <w:t xml:space="preserve"> дороги перед  автомобилем и т.п.) несут </w:t>
      </w:r>
      <w:proofErr w:type="gramStart"/>
      <w:r w:rsidR="00D64BF9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="00D64BF9">
        <w:rPr>
          <w:rFonts w:ascii="Times New Roman" w:hAnsi="Times New Roman" w:cs="Times New Roman"/>
          <w:sz w:val="28"/>
          <w:szCs w:val="28"/>
        </w:rPr>
        <w:t xml:space="preserve"> как жизни, так и здоровью. </w:t>
      </w:r>
      <w:r w:rsidR="009521A9">
        <w:rPr>
          <w:rFonts w:ascii="Times New Roman" w:hAnsi="Times New Roman" w:cs="Times New Roman"/>
          <w:sz w:val="28"/>
          <w:szCs w:val="28"/>
        </w:rPr>
        <w:t>В</w:t>
      </w:r>
      <w:r w:rsidR="00D64BF9">
        <w:rPr>
          <w:rFonts w:ascii="Times New Roman" w:hAnsi="Times New Roman" w:cs="Times New Roman"/>
          <w:sz w:val="28"/>
          <w:szCs w:val="28"/>
        </w:rPr>
        <w:t xml:space="preserve"> случае если посредством информационных ресурсов в сети Интернет несовершеннолетний </w:t>
      </w:r>
      <w:r w:rsidR="009521A9">
        <w:rPr>
          <w:rFonts w:ascii="Times New Roman" w:hAnsi="Times New Roman" w:cs="Times New Roman"/>
          <w:sz w:val="28"/>
          <w:szCs w:val="28"/>
        </w:rPr>
        <w:t xml:space="preserve">узнает для себя схему незаконного проезда на электричке на ее внешних панелях и </w:t>
      </w:r>
      <w:r w:rsidR="00D64BF9">
        <w:rPr>
          <w:rFonts w:ascii="Times New Roman" w:hAnsi="Times New Roman" w:cs="Times New Roman"/>
          <w:sz w:val="28"/>
          <w:szCs w:val="28"/>
        </w:rPr>
        <w:t>проедет</w:t>
      </w:r>
      <w:r w:rsidR="009521A9">
        <w:rPr>
          <w:rFonts w:ascii="Times New Roman" w:hAnsi="Times New Roman" w:cs="Times New Roman"/>
          <w:sz w:val="28"/>
          <w:szCs w:val="28"/>
        </w:rPr>
        <w:t>-таки</w:t>
      </w:r>
      <w:r w:rsidR="00D64BF9">
        <w:rPr>
          <w:rFonts w:ascii="Times New Roman" w:hAnsi="Times New Roman" w:cs="Times New Roman"/>
          <w:sz w:val="28"/>
          <w:szCs w:val="28"/>
        </w:rPr>
        <w:t xml:space="preserve"> «прицепом» на электропоезде, но не умрет от полученной травмы, а получит легкий ожог руки</w:t>
      </w:r>
      <w:r w:rsidR="009521A9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D64BF9">
        <w:rPr>
          <w:rFonts w:ascii="Times New Roman" w:hAnsi="Times New Roman" w:cs="Times New Roman"/>
          <w:sz w:val="28"/>
          <w:szCs w:val="28"/>
        </w:rPr>
        <w:t xml:space="preserve">? Ведь если следовать логике законодателя, стремящегося охватить необъятное, получается, что случаи </w:t>
      </w:r>
      <w:r w:rsidR="009B5B29">
        <w:rPr>
          <w:rFonts w:ascii="Times New Roman" w:hAnsi="Times New Roman" w:cs="Times New Roman"/>
          <w:sz w:val="28"/>
          <w:szCs w:val="28"/>
        </w:rPr>
        <w:t xml:space="preserve">причинения вреда здоровью несовершеннолетних выпали из сферы действия этой нормы. </w:t>
      </w:r>
    </w:p>
    <w:p w:rsidR="009521A9" w:rsidRDefault="009521A9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неясна позиция законодателя по непоследовательному формулированию квалифицированного состава стать 152.1 УК РФ (часть 2). Почему-то законодатель не </w:t>
      </w:r>
      <w:r w:rsidR="001E3E1E">
        <w:rPr>
          <w:rFonts w:ascii="Times New Roman" w:hAnsi="Times New Roman" w:cs="Times New Roman"/>
          <w:sz w:val="28"/>
          <w:szCs w:val="28"/>
        </w:rPr>
        <w:t xml:space="preserve">воспринял опыт статей, входящих в главу 20, хотя и поместил туда новый состав статьи 152.1. </w:t>
      </w:r>
    </w:p>
    <w:p w:rsidR="001E3E1E" w:rsidRPr="00355C7F" w:rsidRDefault="001E3E1E" w:rsidP="0035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Высказанные выше замечания носят дискуссионный характер, но основная проблема лежит гораздо глубже, о чем совершенно верно говорил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В.С. Комиссаров, подчеркивая нелогичность и бессистемность вносимых изменений. Стоит надеяться, что все же законодатель положительно воспримет конструктивную критику со стороны научного сообщества и будет учитывать мнение экспертного сообщества не только при текущей законопроектной деятельности, но и при ее планировании. </w:t>
      </w:r>
    </w:p>
    <w:p w:rsidR="00355C7F" w:rsidRPr="009B2281" w:rsidRDefault="00355C7F" w:rsidP="00FC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C5" w:rsidRPr="006F12C5" w:rsidRDefault="006F12C5" w:rsidP="006F1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C5" w:rsidRDefault="006F12C5" w:rsidP="006F12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C5" w:rsidRPr="006F12C5" w:rsidRDefault="006F12C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12C5" w:rsidRPr="006F12C5" w:rsidSect="00F30C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BC" w:rsidRDefault="004106BC" w:rsidP="00F30CE3">
      <w:pPr>
        <w:spacing w:after="0" w:line="240" w:lineRule="auto"/>
      </w:pPr>
      <w:r>
        <w:separator/>
      </w:r>
    </w:p>
  </w:endnote>
  <w:endnote w:type="continuationSeparator" w:id="0">
    <w:p w:rsidR="004106BC" w:rsidRDefault="004106BC" w:rsidP="00F3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06552"/>
      <w:docPartObj>
        <w:docPartGallery w:val="Page Numbers (Bottom of Page)"/>
        <w:docPartUnique/>
      </w:docPartObj>
    </w:sdtPr>
    <w:sdtContent>
      <w:p w:rsidR="00F30CE3" w:rsidRDefault="00F30C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AC">
          <w:rPr>
            <w:noProof/>
          </w:rPr>
          <w:t>5</w:t>
        </w:r>
        <w:r>
          <w:fldChar w:fldCharType="end"/>
        </w:r>
      </w:p>
    </w:sdtContent>
  </w:sdt>
  <w:p w:rsidR="00F30CE3" w:rsidRDefault="00F30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BC" w:rsidRDefault="004106BC" w:rsidP="00F30CE3">
      <w:pPr>
        <w:spacing w:after="0" w:line="240" w:lineRule="auto"/>
      </w:pPr>
      <w:r>
        <w:separator/>
      </w:r>
    </w:p>
  </w:footnote>
  <w:footnote w:type="continuationSeparator" w:id="0">
    <w:p w:rsidR="004106BC" w:rsidRDefault="004106BC" w:rsidP="00F30CE3">
      <w:pPr>
        <w:spacing w:after="0" w:line="240" w:lineRule="auto"/>
      </w:pPr>
      <w:r>
        <w:continuationSeparator/>
      </w:r>
    </w:p>
  </w:footnote>
  <w:footnote w:id="1">
    <w:p w:rsidR="00B90EC5" w:rsidRDefault="00B90EC5" w:rsidP="004A459A">
      <w:pPr>
        <w:pStyle w:val="a8"/>
        <w:spacing w:line="360" w:lineRule="auto"/>
        <w:jc w:val="both"/>
      </w:pPr>
      <w:r>
        <w:rPr>
          <w:rStyle w:val="aa"/>
        </w:rPr>
        <w:footnoteRef/>
      </w:r>
      <w:r>
        <w:t xml:space="preserve"> </w:t>
      </w:r>
      <w:r w:rsidR="004A459A">
        <w:rPr>
          <w:rFonts w:ascii="Times New Roman" w:hAnsi="Times New Roman" w:cs="Times New Roman"/>
        </w:rPr>
        <w:t xml:space="preserve">Официальные материалы и </w:t>
      </w:r>
      <w:r w:rsidRPr="00B90EC5">
        <w:rPr>
          <w:rFonts w:ascii="Times New Roman" w:hAnsi="Times New Roman" w:cs="Times New Roman"/>
        </w:rPr>
        <w:t xml:space="preserve"> тексты нормативно-правовых актов используются из СПС «</w:t>
      </w:r>
      <w:proofErr w:type="spellStart"/>
      <w:r w:rsidRPr="00B90EC5">
        <w:rPr>
          <w:rFonts w:ascii="Times New Roman" w:hAnsi="Times New Roman" w:cs="Times New Roman"/>
        </w:rPr>
        <w:t>КонсультантПлюс</w:t>
      </w:r>
      <w:proofErr w:type="spellEnd"/>
      <w:r w:rsidRPr="00B90EC5">
        <w:rPr>
          <w:rFonts w:ascii="Times New Roman" w:hAnsi="Times New Roman" w:cs="Times New Roman"/>
        </w:rPr>
        <w:t xml:space="preserve">». </w:t>
      </w:r>
    </w:p>
  </w:footnote>
  <w:footnote w:id="2">
    <w:p w:rsidR="00F30CE3" w:rsidRPr="001F56AB" w:rsidRDefault="00F30CE3" w:rsidP="00B90EC5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F56AB">
        <w:rPr>
          <w:rStyle w:val="aa"/>
          <w:rFonts w:ascii="Times New Roman" w:hAnsi="Times New Roman" w:cs="Times New Roman"/>
        </w:rPr>
        <w:footnoteRef/>
      </w:r>
      <w:r w:rsidRPr="001F56AB">
        <w:rPr>
          <w:rFonts w:ascii="Times New Roman" w:hAnsi="Times New Roman" w:cs="Times New Roman"/>
        </w:rPr>
        <w:t xml:space="preserve"> П.А. Сорокин Преступление и кара, подвиг и награда: социологический этюд об основных формах общественного поведения и морали – Санкт-Петербург, 1914 –</w:t>
      </w:r>
      <w:r w:rsidR="004B5704">
        <w:rPr>
          <w:rFonts w:ascii="Times New Roman" w:hAnsi="Times New Roman" w:cs="Times New Roman"/>
        </w:rPr>
        <w:t xml:space="preserve"> С. 62-63</w:t>
      </w:r>
      <w:r w:rsidR="00E31040" w:rsidRPr="001F56AB">
        <w:rPr>
          <w:rFonts w:ascii="Times New Roman" w:hAnsi="Times New Roman" w:cs="Times New Roman"/>
        </w:rPr>
        <w:t xml:space="preserve">. </w:t>
      </w:r>
      <w:r w:rsidRPr="001F56AB">
        <w:rPr>
          <w:rFonts w:ascii="Times New Roman" w:hAnsi="Times New Roman" w:cs="Times New Roman"/>
        </w:rPr>
        <w:t xml:space="preserve"> </w:t>
      </w:r>
      <w:r w:rsidR="004B5704">
        <w:rPr>
          <w:rFonts w:ascii="Times New Roman" w:hAnsi="Times New Roman" w:cs="Times New Roman"/>
        </w:rPr>
        <w:t>Далее на стр.</w:t>
      </w:r>
      <w:r w:rsidR="00F557D0">
        <w:rPr>
          <w:rFonts w:ascii="Times New Roman" w:hAnsi="Times New Roman" w:cs="Times New Roman"/>
        </w:rPr>
        <w:t xml:space="preserve"> 65-6</w:t>
      </w:r>
      <w:r w:rsidR="004B5704">
        <w:rPr>
          <w:rFonts w:ascii="Times New Roman" w:hAnsi="Times New Roman" w:cs="Times New Roman"/>
        </w:rPr>
        <w:t>5, Питирим Александрович отмечает, что зачастую для определения тех самых мотивов деятельности законодателя по криминализации того или иного деяния нет универсального рецепта</w:t>
      </w:r>
      <w:r w:rsidR="00A96884">
        <w:rPr>
          <w:rFonts w:ascii="Times New Roman" w:hAnsi="Times New Roman" w:cs="Times New Roman"/>
        </w:rPr>
        <w:t xml:space="preserve">, зачастую это похоже на то, что он руководствовался мотивом поскорее состряпать норму, так как скоро обед и нет времени на высокие размышления о состоянии преступности. </w:t>
      </w:r>
    </w:p>
  </w:footnote>
  <w:footnote w:id="3">
    <w:p w:rsidR="001F56AB" w:rsidRPr="001F56AB" w:rsidRDefault="001F56AB" w:rsidP="001F56AB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F56AB">
        <w:rPr>
          <w:rStyle w:val="aa"/>
          <w:rFonts w:ascii="Times New Roman" w:hAnsi="Times New Roman" w:cs="Times New Roman"/>
        </w:rPr>
        <w:footnoteRef/>
      </w:r>
      <w:r w:rsidRPr="001F56AB">
        <w:rPr>
          <w:rFonts w:ascii="Times New Roman" w:hAnsi="Times New Roman" w:cs="Times New Roman"/>
        </w:rPr>
        <w:t xml:space="preserve"> В. С. Комиссаров Новые поправки ломают систему Уголовного кодекса // Московский Юрист –</w:t>
      </w:r>
      <w:r w:rsidR="00EC49E2">
        <w:rPr>
          <w:rFonts w:ascii="Times New Roman" w:hAnsi="Times New Roman" w:cs="Times New Roman"/>
        </w:rPr>
        <w:t xml:space="preserve"> 2011 – №</w:t>
      </w:r>
      <w:r w:rsidRPr="001F56AB">
        <w:rPr>
          <w:rFonts w:ascii="Times New Roman" w:hAnsi="Times New Roman" w:cs="Times New Roman"/>
        </w:rPr>
        <w:t xml:space="preserve"> 3 – </w:t>
      </w:r>
      <w:r w:rsidR="00EC49E2">
        <w:rPr>
          <w:rFonts w:ascii="Times New Roman" w:hAnsi="Times New Roman" w:cs="Times New Roman"/>
        </w:rPr>
        <w:t xml:space="preserve">С. </w:t>
      </w:r>
      <w:r w:rsidRPr="001F56AB">
        <w:rPr>
          <w:rFonts w:ascii="Times New Roman" w:hAnsi="Times New Roman" w:cs="Times New Roman"/>
        </w:rPr>
        <w:t>30-38. Такж</w:t>
      </w:r>
      <w:r>
        <w:rPr>
          <w:rFonts w:ascii="Times New Roman" w:hAnsi="Times New Roman" w:cs="Times New Roman"/>
        </w:rPr>
        <w:t>е</w:t>
      </w:r>
      <w:r w:rsidRPr="001F56AB">
        <w:rPr>
          <w:rFonts w:ascii="Times New Roman" w:hAnsi="Times New Roman" w:cs="Times New Roman"/>
        </w:rPr>
        <w:t xml:space="preserve"> электронная версия по адресу: [Электронный ресурс] / Режим доступа: </w:t>
      </w:r>
      <w:r w:rsidRPr="001F56AB">
        <w:rPr>
          <w:rFonts w:ascii="Times New Roman" w:hAnsi="Times New Roman" w:cs="Times New Roman"/>
          <w:lang w:val="en-US"/>
        </w:rPr>
        <w:t>URL</w:t>
      </w:r>
      <w:r w:rsidRPr="001F56AB">
        <w:rPr>
          <w:rFonts w:ascii="Times New Roman" w:hAnsi="Times New Roman" w:cs="Times New Roman"/>
        </w:rPr>
        <w:t xml:space="preserve">: https://zakon.ru/discussion/2011/12/19/novye_popravki_lomayut_sistemu_ugolovnogo_kodeksa. </w:t>
      </w:r>
    </w:p>
  </w:footnote>
  <w:footnote w:id="4">
    <w:p w:rsidR="00FC6968" w:rsidRPr="00A90758" w:rsidRDefault="00FC6968" w:rsidP="00A907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75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90758">
        <w:rPr>
          <w:rFonts w:ascii="Times New Roman" w:hAnsi="Times New Roman" w:cs="Times New Roman"/>
          <w:sz w:val="20"/>
          <w:szCs w:val="20"/>
        </w:rPr>
        <w:t xml:space="preserve"> Федеральный закон от  07.06.2017 N 120-ФЗ «</w:t>
      </w:r>
      <w:r w:rsidRPr="00A90758">
        <w:rPr>
          <w:rFonts w:ascii="Times New Roman" w:hAnsi="Times New Roman" w:cs="Times New Roman"/>
          <w:sz w:val="20"/>
          <w:szCs w:val="20"/>
        </w:rPr>
        <w:t xml:space="preserve">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</w:t>
      </w:r>
      <w:r w:rsidRPr="00A90758">
        <w:rPr>
          <w:rFonts w:ascii="Times New Roman" w:hAnsi="Times New Roman" w:cs="Times New Roman"/>
          <w:sz w:val="20"/>
          <w:szCs w:val="20"/>
        </w:rPr>
        <w:t>детей к суицидальному поведению»</w:t>
      </w:r>
      <w:r w:rsidR="00A90758" w:rsidRPr="00A90758">
        <w:rPr>
          <w:rFonts w:ascii="Times New Roman" w:hAnsi="Times New Roman" w:cs="Times New Roman"/>
          <w:sz w:val="20"/>
          <w:szCs w:val="20"/>
        </w:rPr>
        <w:t xml:space="preserve"> // СЗ РФ. 12.06.2017. № </w:t>
      </w:r>
      <w:r w:rsidR="00A90758" w:rsidRPr="00A90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24, ст. 3489. </w:t>
      </w:r>
    </w:p>
  </w:footnote>
  <w:footnote w:id="5">
    <w:p w:rsidR="000B3D87" w:rsidRPr="00EC49E2" w:rsidRDefault="000B3D87" w:rsidP="000B3D8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0B3D87">
        <w:rPr>
          <w:rFonts w:ascii="Times New Roman" w:hAnsi="Times New Roman" w:cs="Times New Roman"/>
        </w:rPr>
        <w:t>Пояснительная записка к проекту федерального закона № 118634-7 от 09.03.2017 // [Электронный ресурс]</w:t>
      </w:r>
      <w:r w:rsidR="00A10C67">
        <w:rPr>
          <w:rFonts w:ascii="Times New Roman" w:hAnsi="Times New Roman" w:cs="Times New Roman"/>
        </w:rPr>
        <w:t xml:space="preserve"> </w:t>
      </w:r>
      <w:r w:rsidRPr="000B3D87">
        <w:rPr>
          <w:rFonts w:ascii="Times New Roman" w:hAnsi="Times New Roman" w:cs="Times New Roman"/>
        </w:rPr>
        <w:t>/ Режим доступа: URL: http://sozd.parlament.gov.ru/bill/118634-7.</w:t>
      </w:r>
      <w:r>
        <w:t xml:space="preserve"> </w:t>
      </w:r>
      <w:r w:rsidR="009B2281" w:rsidRPr="009B2281">
        <w:rPr>
          <w:rFonts w:ascii="Times New Roman" w:hAnsi="Times New Roman" w:cs="Times New Roman"/>
        </w:rPr>
        <w:t xml:space="preserve">Интересно, что в официальных отзывах на проект федерального </w:t>
      </w:r>
      <w:proofErr w:type="gramStart"/>
      <w:r w:rsidR="009B2281" w:rsidRPr="009B2281">
        <w:rPr>
          <w:rFonts w:ascii="Times New Roman" w:hAnsi="Times New Roman" w:cs="Times New Roman"/>
        </w:rPr>
        <w:t>закона</w:t>
      </w:r>
      <w:proofErr w:type="gramEnd"/>
      <w:r w:rsidR="009B2281" w:rsidRPr="009B2281">
        <w:rPr>
          <w:rFonts w:ascii="Times New Roman" w:hAnsi="Times New Roman" w:cs="Times New Roman"/>
        </w:rPr>
        <w:t xml:space="preserve"> как Правительство РФ, так и Верховный суд РФ отметили, что описание нормы должны быть конкретной и исключающей двойное толкование и понимание </w:t>
      </w:r>
      <w:proofErr w:type="spellStart"/>
      <w:r w:rsidR="009B2281" w:rsidRPr="009B2281">
        <w:rPr>
          <w:rFonts w:ascii="Times New Roman" w:hAnsi="Times New Roman" w:cs="Times New Roman"/>
        </w:rPr>
        <w:t>правоприменителем</w:t>
      </w:r>
      <w:proofErr w:type="spellEnd"/>
      <w:r w:rsidR="009B2281" w:rsidRPr="009B2281">
        <w:rPr>
          <w:rFonts w:ascii="Times New Roman" w:hAnsi="Times New Roman" w:cs="Times New Roman"/>
        </w:rPr>
        <w:t xml:space="preserve">, но </w:t>
      </w:r>
      <w:r w:rsidR="009B2281">
        <w:rPr>
          <w:rFonts w:ascii="Times New Roman" w:hAnsi="Times New Roman" w:cs="Times New Roman"/>
        </w:rPr>
        <w:t>«</w:t>
      </w:r>
      <w:proofErr w:type="spellStart"/>
      <w:r w:rsidR="009B2281" w:rsidRPr="00EC49E2">
        <w:rPr>
          <w:rFonts w:ascii="Times New Roman" w:hAnsi="Times New Roman" w:cs="Times New Roman"/>
        </w:rPr>
        <w:t>законотворцы</w:t>
      </w:r>
      <w:proofErr w:type="spellEnd"/>
      <w:r w:rsidR="009B2281" w:rsidRPr="00EC49E2">
        <w:rPr>
          <w:rFonts w:ascii="Times New Roman" w:hAnsi="Times New Roman" w:cs="Times New Roman"/>
        </w:rPr>
        <w:t xml:space="preserve">» остались на своих позициях. </w:t>
      </w:r>
    </w:p>
  </w:footnote>
  <w:footnote w:id="6">
    <w:p w:rsidR="00EC49E2" w:rsidRDefault="00EC49E2" w:rsidP="00EC49E2">
      <w:pPr>
        <w:pStyle w:val="a8"/>
        <w:spacing w:line="360" w:lineRule="auto"/>
        <w:jc w:val="both"/>
      </w:pPr>
      <w:r w:rsidRPr="00EC49E2">
        <w:rPr>
          <w:rStyle w:val="aa"/>
          <w:rFonts w:ascii="Times New Roman" w:hAnsi="Times New Roman" w:cs="Times New Roman"/>
        </w:rPr>
        <w:footnoteRef/>
      </w:r>
      <w:r w:rsidRPr="00EC49E2">
        <w:rPr>
          <w:rFonts w:ascii="Times New Roman" w:hAnsi="Times New Roman" w:cs="Times New Roman"/>
        </w:rPr>
        <w:t xml:space="preserve"> Н.Н. </w:t>
      </w:r>
      <w:proofErr w:type="spellStart"/>
      <w:r w:rsidRPr="00EC49E2">
        <w:rPr>
          <w:rFonts w:ascii="Times New Roman" w:hAnsi="Times New Roman" w:cs="Times New Roman"/>
        </w:rPr>
        <w:t>Бугер</w:t>
      </w:r>
      <w:proofErr w:type="spellEnd"/>
      <w:r w:rsidRPr="00EC49E2">
        <w:rPr>
          <w:rFonts w:ascii="Times New Roman" w:hAnsi="Times New Roman" w:cs="Times New Roman"/>
        </w:rPr>
        <w:t xml:space="preserve"> Соотношение понятий </w:t>
      </w:r>
      <w:r w:rsidRPr="00EC49E2">
        <w:rPr>
          <w:rFonts w:ascii="Times New Roman" w:hAnsi="Times New Roman" w:cs="Times New Roman"/>
        </w:rPr>
        <w:t xml:space="preserve">вовлечение </w:t>
      </w:r>
      <w:r w:rsidRPr="00EC49E2">
        <w:rPr>
          <w:rFonts w:ascii="Times New Roman" w:hAnsi="Times New Roman" w:cs="Times New Roman"/>
        </w:rPr>
        <w:t>и склонение  в уголовном праве России // Юридическая наука и правоохранительная практика – 2014 - № 3(29) – С. 25-40.</w:t>
      </w:r>
      <w:r>
        <w:t xml:space="preserve"> </w:t>
      </w:r>
    </w:p>
  </w:footnote>
  <w:footnote w:id="7">
    <w:p w:rsidR="00A65728" w:rsidRPr="00A65728" w:rsidRDefault="00A65728" w:rsidP="00A65728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A65728">
        <w:rPr>
          <w:rStyle w:val="aa"/>
          <w:rFonts w:ascii="Times New Roman" w:hAnsi="Times New Roman" w:cs="Times New Roman"/>
        </w:rPr>
        <w:footnoteRef/>
      </w:r>
      <w:r w:rsidRPr="00A65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Касаемо же вовлечения можно применить позицию Верховного Суда РФ, выраженную в постановлении Пленума от 01.02.2011 № 1, где вовлечением в  совершение деяний, предусмотренных статьями 150 и 151 УК РФ, предлагается понимать как «</w:t>
      </w:r>
      <w:r w:rsidRPr="00A65728">
        <w:rPr>
          <w:rFonts w:ascii="Times New Roman" w:hAnsi="Times New Roman" w:cs="Times New Roman"/>
        </w:rPr>
        <w:t>действия взрослого лица, направленные на возбуждение желания совершить преступлени</w:t>
      </w:r>
      <w:r>
        <w:rPr>
          <w:rFonts w:ascii="Times New Roman" w:hAnsi="Times New Roman" w:cs="Times New Roman"/>
        </w:rPr>
        <w:t>е или антиобщественные действия». Момент же оконча</w:t>
      </w:r>
      <w:r w:rsidR="00B10DD3">
        <w:rPr>
          <w:rFonts w:ascii="Times New Roman" w:hAnsi="Times New Roman" w:cs="Times New Roman"/>
        </w:rPr>
        <w:t xml:space="preserve">ния предлагается рассматривать </w:t>
      </w:r>
      <w:r>
        <w:rPr>
          <w:rFonts w:ascii="Times New Roman" w:hAnsi="Times New Roman" w:cs="Times New Roman"/>
        </w:rPr>
        <w:t xml:space="preserve"> «</w:t>
      </w:r>
      <w:r w:rsidRPr="00A65728">
        <w:rPr>
          <w:rFonts w:ascii="Times New Roman" w:hAnsi="Times New Roman" w:cs="Times New Roman"/>
        </w:rPr>
        <w:t xml:space="preserve">с момента совершения несовершеннолетним преступления, приготовления к преступлению, покушения на преступление или после совершения хотя бы одного из антиобщественных действий, предусмотренных диспозицией части 1 статьи 151 УК РФ (систематическое употребление спиртных напитков, одурманивающих веществ, занятие бродяжничеством или </w:t>
      </w:r>
      <w:proofErr w:type="gramStart"/>
      <w:r w:rsidRPr="00A65728">
        <w:rPr>
          <w:rFonts w:ascii="Times New Roman" w:hAnsi="Times New Roman" w:cs="Times New Roman"/>
        </w:rPr>
        <w:t>попрошайнич</w:t>
      </w:r>
      <w:r>
        <w:rPr>
          <w:rFonts w:ascii="Times New Roman" w:hAnsi="Times New Roman" w:cs="Times New Roman"/>
        </w:rPr>
        <w:t>еством</w:t>
      </w:r>
      <w:proofErr w:type="gramEnd"/>
      <w:r>
        <w:rPr>
          <w:rFonts w:ascii="Times New Roman" w:hAnsi="Times New Roman" w:cs="Times New Roman"/>
        </w:rPr>
        <w:t xml:space="preserve">)» // БВС РФ.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№ 4 – апрель 2011. </w:t>
      </w:r>
      <w:r w:rsidR="00B10DD3">
        <w:rPr>
          <w:rFonts w:ascii="Times New Roman" w:hAnsi="Times New Roman" w:cs="Times New Roman"/>
        </w:rPr>
        <w:t xml:space="preserve">Стоит также отметить, что в отечественной истории уголовного права вопрос о моменте окончания вовлечения в совершение преступления также подвергался изменениям, что изменяло объем действий виновного лица и влияло на квалификацию. См. Селиванова М.А. </w:t>
      </w:r>
      <w:r w:rsidR="00B10DD3" w:rsidRPr="00B10DD3">
        <w:rPr>
          <w:rFonts w:ascii="Times New Roman" w:hAnsi="Times New Roman" w:cs="Times New Roman"/>
        </w:rPr>
        <w:t>Селиванова Марина Александровна К вопросу о понятии вовлечения несовершеннолетних в совершени</w:t>
      </w:r>
      <w:r w:rsidR="00B10DD3">
        <w:rPr>
          <w:rFonts w:ascii="Times New Roman" w:hAnsi="Times New Roman" w:cs="Times New Roman"/>
        </w:rPr>
        <w:t xml:space="preserve">е преступлений // Известия БГУ. – </w:t>
      </w:r>
      <w:r w:rsidR="00B10DD3" w:rsidRPr="00B10DD3">
        <w:rPr>
          <w:rFonts w:ascii="Times New Roman" w:hAnsi="Times New Roman" w:cs="Times New Roman"/>
        </w:rPr>
        <w:t>2010</w:t>
      </w:r>
      <w:r w:rsidR="00B10DD3">
        <w:rPr>
          <w:rFonts w:ascii="Times New Roman" w:hAnsi="Times New Roman" w:cs="Times New Roman"/>
        </w:rPr>
        <w:t xml:space="preserve"> </w:t>
      </w:r>
      <w:r w:rsidR="00B10DD3">
        <w:rPr>
          <w:rFonts w:ascii="Times New Roman" w:hAnsi="Times New Roman" w:cs="Times New Roman"/>
        </w:rPr>
        <w:t>–</w:t>
      </w:r>
      <w:r w:rsidR="00B10DD3">
        <w:rPr>
          <w:rFonts w:ascii="Times New Roman" w:hAnsi="Times New Roman" w:cs="Times New Roman"/>
        </w:rPr>
        <w:t xml:space="preserve"> </w:t>
      </w:r>
      <w:r w:rsidR="00B10DD3" w:rsidRPr="00B10DD3">
        <w:rPr>
          <w:rFonts w:ascii="Times New Roman" w:hAnsi="Times New Roman" w:cs="Times New Roman"/>
        </w:rPr>
        <w:t>. №2.</w:t>
      </w:r>
      <w:r w:rsidR="00B10DD3">
        <w:rPr>
          <w:rFonts w:ascii="Times New Roman" w:hAnsi="Times New Roman" w:cs="Times New Roman"/>
        </w:rPr>
        <w:t xml:space="preserve"> – С. 146-147. </w:t>
      </w:r>
    </w:p>
  </w:footnote>
  <w:footnote w:id="8">
    <w:p w:rsidR="00A8029D" w:rsidRDefault="00A8029D" w:rsidP="00A8029D">
      <w:pPr>
        <w:pStyle w:val="a8"/>
        <w:spacing w:line="360" w:lineRule="auto"/>
        <w:jc w:val="both"/>
      </w:pPr>
      <w:r>
        <w:rPr>
          <w:rStyle w:val="aa"/>
        </w:rPr>
        <w:footnoteRef/>
      </w:r>
      <w:r>
        <w:t xml:space="preserve"> </w:t>
      </w:r>
      <w:r w:rsidRPr="00A8029D">
        <w:rPr>
          <w:rFonts w:ascii="Times New Roman" w:hAnsi="Times New Roman" w:cs="Times New Roman"/>
        </w:rPr>
        <w:t xml:space="preserve">Косвенно на это указывает позиция Верховного суда РФ, </w:t>
      </w:r>
      <w:r>
        <w:rPr>
          <w:rFonts w:ascii="Times New Roman" w:hAnsi="Times New Roman" w:cs="Times New Roman"/>
        </w:rPr>
        <w:t xml:space="preserve"> </w:t>
      </w:r>
      <w:r w:rsidRPr="00A8029D">
        <w:rPr>
          <w:rFonts w:ascii="Times New Roman" w:hAnsi="Times New Roman" w:cs="Times New Roman"/>
        </w:rPr>
        <w:t>сформулированная в постановлении  Пленума</w:t>
      </w:r>
      <w:r>
        <w:t xml:space="preserve"> от </w:t>
      </w:r>
      <w:proofErr w:type="spellStart"/>
      <w:proofErr w:type="gramStart"/>
      <w:r w:rsidRPr="00A8029D">
        <w:rPr>
          <w:rFonts w:ascii="Times New Roman" w:hAnsi="Times New Roman" w:cs="Times New Roman"/>
        </w:rPr>
        <w:t>от</w:t>
      </w:r>
      <w:proofErr w:type="spellEnd"/>
      <w:proofErr w:type="gramEnd"/>
      <w:r w:rsidRPr="00A8029D">
        <w:rPr>
          <w:rFonts w:ascii="Times New Roman" w:hAnsi="Times New Roman" w:cs="Times New Roman"/>
        </w:rPr>
        <w:t xml:space="preserve"> 15.06.2006 № 14</w:t>
      </w:r>
      <w:r>
        <w:rPr>
          <w:rFonts w:ascii="Times New Roman" w:hAnsi="Times New Roman" w:cs="Times New Roman"/>
        </w:rPr>
        <w:t xml:space="preserve"> (п.27), где указывается, что момент окончания склонения к употреблению наркотических средств, психотропных веществ и их аналогов не требует совершившегося факта употребления указанных веществ // БВС РФ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№ 8 – 2006. </w:t>
      </w:r>
    </w:p>
  </w:footnote>
  <w:footnote w:id="9">
    <w:p w:rsidR="007D3C2E" w:rsidRPr="007D3C2E" w:rsidRDefault="007D3C2E" w:rsidP="007D3C2E">
      <w:pPr>
        <w:pStyle w:val="a8"/>
        <w:spacing w:line="360" w:lineRule="auto"/>
        <w:jc w:val="both"/>
      </w:pPr>
      <w:r>
        <w:rPr>
          <w:rStyle w:val="aa"/>
        </w:rPr>
        <w:footnoteRef/>
      </w:r>
      <w:r>
        <w:t xml:space="preserve"> </w:t>
      </w:r>
      <w:r w:rsidRPr="007D3C2E">
        <w:rPr>
          <w:rFonts w:ascii="Times New Roman" w:hAnsi="Times New Roman" w:cs="Times New Roman"/>
        </w:rPr>
        <w:t xml:space="preserve">Хотя при этом в самом тексте УК РФ сочетание </w:t>
      </w:r>
      <w:r>
        <w:rPr>
          <w:rFonts w:ascii="Times New Roman" w:hAnsi="Times New Roman" w:cs="Times New Roman"/>
        </w:rPr>
        <w:t>«склонение или иное вовлечение» используется в статьях, связанных с организаторской деятельностью: 205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212; 282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282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и 361. </w:t>
      </w:r>
    </w:p>
  </w:footnote>
  <w:footnote w:id="10">
    <w:p w:rsidR="00D64BF9" w:rsidRPr="00D64BF9" w:rsidRDefault="00D64BF9" w:rsidP="00D64BF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64BF9">
        <w:rPr>
          <w:rStyle w:val="aa"/>
          <w:rFonts w:ascii="Times New Roman" w:hAnsi="Times New Roman" w:cs="Times New Roman"/>
        </w:rPr>
        <w:footnoteRef/>
      </w:r>
      <w:r w:rsidRPr="00D64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Федеральный закон от </w:t>
      </w:r>
      <w:r w:rsidRPr="00D64BF9">
        <w:rPr>
          <w:rFonts w:ascii="Times New Roman" w:hAnsi="Times New Roman" w:cs="Times New Roman"/>
        </w:rPr>
        <w:t>23.06.2016 № 182-ФЗ</w:t>
      </w:r>
      <w:r>
        <w:rPr>
          <w:rFonts w:ascii="Times New Roman" w:hAnsi="Times New Roman" w:cs="Times New Roman"/>
        </w:rPr>
        <w:t xml:space="preserve"> «</w:t>
      </w:r>
      <w:r w:rsidRPr="00D64BF9">
        <w:rPr>
          <w:rFonts w:ascii="Times New Roman" w:hAnsi="Times New Roman" w:cs="Times New Roman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</w:rPr>
        <w:t>» // СЗ РФ. 27.06.2016, №</w:t>
      </w:r>
      <w:r w:rsidRPr="00D64BF9">
        <w:rPr>
          <w:rFonts w:ascii="Times New Roman" w:hAnsi="Times New Roman" w:cs="Times New Roman"/>
        </w:rPr>
        <w:t xml:space="preserve"> 26 (Часть I), ст. 3851</w:t>
      </w:r>
      <w:r>
        <w:rPr>
          <w:rFonts w:ascii="Times New Roman" w:hAnsi="Times New Roman" w:cs="Times New Roman"/>
        </w:rPr>
        <w:t xml:space="preserve">. </w:t>
      </w:r>
    </w:p>
  </w:footnote>
  <w:footnote w:id="11">
    <w:p w:rsidR="009521A9" w:rsidRDefault="009521A9" w:rsidP="009521A9">
      <w:pPr>
        <w:pStyle w:val="a8"/>
        <w:spacing w:line="360" w:lineRule="auto"/>
        <w:jc w:val="both"/>
      </w:pPr>
      <w:r>
        <w:rPr>
          <w:rStyle w:val="aa"/>
        </w:rPr>
        <w:footnoteRef/>
      </w:r>
      <w:r>
        <w:t xml:space="preserve"> </w:t>
      </w:r>
      <w:r w:rsidRPr="009521A9">
        <w:rPr>
          <w:rFonts w:ascii="Times New Roman" w:hAnsi="Times New Roman" w:cs="Times New Roman"/>
        </w:rPr>
        <w:t>Здесь кстати следует отметить, что в КоАП РФ имеется статья 11.17, предусмотревшая ответственность граждан за нарушение правил поведения на железнодорожном, воздушном или водном транспорте.</w:t>
      </w:r>
      <w:r>
        <w:rPr>
          <w:rFonts w:ascii="Times New Roman" w:hAnsi="Times New Roman" w:cs="Times New Roman"/>
        </w:rPr>
        <w:t xml:space="preserve"> Другое дело, что возраст административной ответственности наступает с 16 лет (ст.2.3 КоАП РФ), но что мешает предусмотреть дифференциацию в рамках административного законодательства?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5"/>
    <w:rsid w:val="00017E66"/>
    <w:rsid w:val="00081FB2"/>
    <w:rsid w:val="00082098"/>
    <w:rsid w:val="000B3D87"/>
    <w:rsid w:val="000E138B"/>
    <w:rsid w:val="00107C3A"/>
    <w:rsid w:val="00134399"/>
    <w:rsid w:val="001705E2"/>
    <w:rsid w:val="001B7BAC"/>
    <w:rsid w:val="001E3E1E"/>
    <w:rsid w:val="001F56AB"/>
    <w:rsid w:val="00224945"/>
    <w:rsid w:val="00257A7E"/>
    <w:rsid w:val="00285AA5"/>
    <w:rsid w:val="00355C7F"/>
    <w:rsid w:val="004106BC"/>
    <w:rsid w:val="004A459A"/>
    <w:rsid w:val="004B5704"/>
    <w:rsid w:val="00517E72"/>
    <w:rsid w:val="00560026"/>
    <w:rsid w:val="00596DF8"/>
    <w:rsid w:val="006F12C5"/>
    <w:rsid w:val="007D3C2E"/>
    <w:rsid w:val="008F5B69"/>
    <w:rsid w:val="00906A6E"/>
    <w:rsid w:val="00925B82"/>
    <w:rsid w:val="009521A9"/>
    <w:rsid w:val="009B2281"/>
    <w:rsid w:val="009B5B29"/>
    <w:rsid w:val="00A10C67"/>
    <w:rsid w:val="00A65728"/>
    <w:rsid w:val="00A77192"/>
    <w:rsid w:val="00A8029D"/>
    <w:rsid w:val="00A90758"/>
    <w:rsid w:val="00A96884"/>
    <w:rsid w:val="00AA1072"/>
    <w:rsid w:val="00B10DD3"/>
    <w:rsid w:val="00B90EC5"/>
    <w:rsid w:val="00C1322E"/>
    <w:rsid w:val="00D64BF9"/>
    <w:rsid w:val="00DE6FEA"/>
    <w:rsid w:val="00E143E3"/>
    <w:rsid w:val="00E21DC0"/>
    <w:rsid w:val="00E31040"/>
    <w:rsid w:val="00E63D0A"/>
    <w:rsid w:val="00EC49E2"/>
    <w:rsid w:val="00F01DC8"/>
    <w:rsid w:val="00F228E3"/>
    <w:rsid w:val="00F30CE3"/>
    <w:rsid w:val="00F557D0"/>
    <w:rsid w:val="00F63FB8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CE3"/>
  </w:style>
  <w:style w:type="paragraph" w:styleId="a6">
    <w:name w:val="footer"/>
    <w:basedOn w:val="a"/>
    <w:link w:val="a7"/>
    <w:uiPriority w:val="99"/>
    <w:unhideWhenUsed/>
    <w:rsid w:val="00F3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CE3"/>
  </w:style>
  <w:style w:type="paragraph" w:styleId="a8">
    <w:name w:val="footnote text"/>
    <w:basedOn w:val="a"/>
    <w:link w:val="a9"/>
    <w:uiPriority w:val="99"/>
    <w:semiHidden/>
    <w:unhideWhenUsed/>
    <w:rsid w:val="00F30C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0C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0CE3"/>
    <w:rPr>
      <w:vertAlign w:val="superscript"/>
    </w:rPr>
  </w:style>
  <w:style w:type="character" w:styleId="ab">
    <w:name w:val="Hyperlink"/>
    <w:basedOn w:val="a0"/>
    <w:uiPriority w:val="99"/>
    <w:unhideWhenUsed/>
    <w:rsid w:val="001F5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CE3"/>
  </w:style>
  <w:style w:type="paragraph" w:styleId="a6">
    <w:name w:val="footer"/>
    <w:basedOn w:val="a"/>
    <w:link w:val="a7"/>
    <w:uiPriority w:val="99"/>
    <w:unhideWhenUsed/>
    <w:rsid w:val="00F3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CE3"/>
  </w:style>
  <w:style w:type="paragraph" w:styleId="a8">
    <w:name w:val="footnote text"/>
    <w:basedOn w:val="a"/>
    <w:link w:val="a9"/>
    <w:uiPriority w:val="99"/>
    <w:semiHidden/>
    <w:unhideWhenUsed/>
    <w:rsid w:val="00F30C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0C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0CE3"/>
    <w:rPr>
      <w:vertAlign w:val="superscript"/>
    </w:rPr>
  </w:style>
  <w:style w:type="character" w:styleId="ab">
    <w:name w:val="Hyperlink"/>
    <w:basedOn w:val="a0"/>
    <w:uiPriority w:val="99"/>
    <w:unhideWhenUsed/>
    <w:rsid w:val="001F5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D8BD-C659-44D5-8E50-8E06F1E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692</Words>
  <Characters>4802</Characters>
  <Application>Microsoft Office Word</Application>
  <DocSecurity>0</DocSecurity>
  <Lines>92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39</cp:revision>
  <dcterms:created xsi:type="dcterms:W3CDTF">2018-02-14T15:32:00Z</dcterms:created>
  <dcterms:modified xsi:type="dcterms:W3CDTF">2018-02-14T20:07:00Z</dcterms:modified>
</cp:coreProperties>
</file>